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638F4" w14:textId="597C045E" w:rsidR="009E2096" w:rsidRPr="00517D34" w:rsidRDefault="009E2096" w:rsidP="00047509">
      <w:pPr>
        <w:tabs>
          <w:tab w:val="center" w:pos="4536"/>
          <w:tab w:val="right" w:pos="9356"/>
          <w:tab w:val="right" w:pos="9639"/>
        </w:tabs>
        <w:spacing w:after="0"/>
        <w:rPr>
          <w:rFonts w:ascii="Arial" w:eastAsia="Arial" w:hAnsi="Arial" w:cs="Arial"/>
          <w:b/>
          <w:bCs/>
          <w:sz w:val="24"/>
          <w:szCs w:val="24"/>
          <w:lang w:val="en-GB"/>
        </w:rPr>
      </w:pPr>
      <w:bookmarkStart w:id="0" w:name="_Hlk4768585"/>
      <w:bookmarkStart w:id="1" w:name="_Ref510623357"/>
      <w:bookmarkStart w:id="2" w:name="_GoBack"/>
      <w:bookmarkEnd w:id="2"/>
      <w:r w:rsidRPr="00517D34">
        <w:rPr>
          <w:rFonts w:ascii="Arial" w:eastAsia="Arial" w:hAnsi="Arial" w:cs="Arial"/>
          <w:b/>
          <w:bCs/>
          <w:sz w:val="24"/>
          <w:szCs w:val="24"/>
          <w:lang w:val="en-GB"/>
        </w:rPr>
        <w:t xml:space="preserve">3GPP TSG RAN WG1 Meeting </w:t>
      </w:r>
      <w:r w:rsidR="00047509">
        <w:rPr>
          <w:rFonts w:ascii="Arial" w:eastAsia="Arial" w:hAnsi="Arial" w:cs="Arial"/>
          <w:b/>
          <w:bCs/>
          <w:sz w:val="24"/>
          <w:szCs w:val="24"/>
          <w:lang w:val="en-GB"/>
        </w:rPr>
        <w:t>#96</w:t>
      </w:r>
      <w:r w:rsidR="00DE4F29">
        <w:rPr>
          <w:rFonts w:ascii="Arial" w:eastAsia="Arial" w:hAnsi="Arial" w:cs="Arial"/>
          <w:b/>
          <w:bCs/>
          <w:sz w:val="24"/>
          <w:szCs w:val="24"/>
          <w:lang w:val="en-GB"/>
        </w:rPr>
        <w:t>bis</w:t>
      </w:r>
      <w:r w:rsidRPr="00517D34">
        <w:rPr>
          <w:rFonts w:ascii="Arial" w:eastAsia="Arial" w:hAnsi="Arial" w:cs="Arial"/>
          <w:b/>
          <w:bCs/>
          <w:sz w:val="24"/>
          <w:szCs w:val="24"/>
          <w:lang w:val="en-GB"/>
        </w:rPr>
        <w:t xml:space="preserve">               </w:t>
      </w:r>
      <w:r w:rsidRPr="00517D34">
        <w:rPr>
          <w:rFonts w:ascii="Arial" w:hAnsi="Arial" w:cs="Arial"/>
          <w:b/>
          <w:bCs/>
          <w:sz w:val="24"/>
          <w:lang w:val="en-GB"/>
        </w:rPr>
        <w:tab/>
      </w:r>
      <w:r w:rsidR="00235D27" w:rsidRPr="00235D27">
        <w:rPr>
          <w:rFonts w:ascii="Arial" w:hAnsi="Arial" w:cs="Arial"/>
          <w:b/>
          <w:bCs/>
          <w:sz w:val="24"/>
          <w:lang w:val="en-GB"/>
        </w:rPr>
        <w:t>R1-19</w:t>
      </w:r>
      <w:r w:rsidR="005E69DB">
        <w:rPr>
          <w:rFonts w:ascii="Arial" w:hAnsi="Arial" w:cs="Arial"/>
          <w:b/>
          <w:bCs/>
          <w:sz w:val="24"/>
          <w:lang w:val="en-GB"/>
        </w:rPr>
        <w:t>05228</w:t>
      </w:r>
    </w:p>
    <w:p w14:paraId="4B83AC13" w14:textId="711464E8" w:rsidR="009E2096" w:rsidRDefault="00DE4F29" w:rsidP="009E2096">
      <w:pPr>
        <w:pStyle w:val="Header"/>
        <w:rPr>
          <w:rFonts w:cs="Arial"/>
          <w:bCs/>
          <w:sz w:val="24"/>
        </w:rPr>
      </w:pPr>
      <w:r>
        <w:rPr>
          <w:rFonts w:cs="Arial"/>
          <w:bCs/>
          <w:sz w:val="24"/>
        </w:rPr>
        <w:t>Xi’an</w:t>
      </w:r>
      <w:r w:rsidR="009E2096" w:rsidRPr="00C7260E">
        <w:rPr>
          <w:rFonts w:cs="Arial"/>
          <w:bCs/>
          <w:sz w:val="24"/>
        </w:rPr>
        <w:t xml:space="preserve">, </w:t>
      </w:r>
      <w:r>
        <w:rPr>
          <w:rFonts w:cs="Arial"/>
          <w:bCs/>
          <w:sz w:val="24"/>
        </w:rPr>
        <w:t>China</w:t>
      </w:r>
      <w:r w:rsidR="009E2096">
        <w:rPr>
          <w:rFonts w:cs="Arial"/>
          <w:bCs/>
          <w:sz w:val="24"/>
        </w:rPr>
        <w:t xml:space="preserve">, </w:t>
      </w:r>
      <w:r>
        <w:rPr>
          <w:rFonts w:cs="Arial"/>
          <w:bCs/>
          <w:sz w:val="24"/>
        </w:rPr>
        <w:t>April</w:t>
      </w:r>
      <w:r w:rsidR="009E2096">
        <w:rPr>
          <w:rFonts w:cs="Arial"/>
          <w:bCs/>
          <w:sz w:val="24"/>
        </w:rPr>
        <w:t xml:space="preserve"> </w:t>
      </w:r>
      <w:r>
        <w:rPr>
          <w:rFonts w:cs="Arial"/>
          <w:bCs/>
          <w:sz w:val="24"/>
        </w:rPr>
        <w:t>8</w:t>
      </w:r>
      <w:r w:rsidR="00047509">
        <w:rPr>
          <w:rFonts w:cs="Arial"/>
          <w:bCs/>
          <w:sz w:val="24"/>
          <w:vertAlign w:val="superscript"/>
        </w:rPr>
        <w:t>th</w:t>
      </w:r>
      <w:r w:rsidR="009E2096">
        <w:rPr>
          <w:rFonts w:cs="Arial"/>
          <w:bCs/>
          <w:sz w:val="24"/>
        </w:rPr>
        <w:t xml:space="preserve"> </w:t>
      </w:r>
      <w:r w:rsidR="009E2096" w:rsidRPr="00C7260E">
        <w:rPr>
          <w:rFonts w:cs="Arial"/>
          <w:bCs/>
          <w:sz w:val="24"/>
        </w:rPr>
        <w:t>–</w:t>
      </w:r>
      <w:r>
        <w:rPr>
          <w:rFonts w:cs="Arial"/>
          <w:bCs/>
          <w:sz w:val="24"/>
        </w:rPr>
        <w:t>12</w:t>
      </w:r>
      <w:r>
        <w:rPr>
          <w:rFonts w:cs="Arial"/>
          <w:bCs/>
          <w:sz w:val="24"/>
          <w:vertAlign w:val="superscript"/>
        </w:rPr>
        <w:t>th</w:t>
      </w:r>
      <w:r w:rsidR="009E2096">
        <w:rPr>
          <w:rFonts w:cs="Arial"/>
          <w:bCs/>
          <w:sz w:val="24"/>
        </w:rPr>
        <w:t xml:space="preserve"> </w:t>
      </w:r>
      <w:r w:rsidR="009E2096" w:rsidRPr="00C7260E">
        <w:rPr>
          <w:rFonts w:cs="Arial"/>
          <w:bCs/>
          <w:sz w:val="24"/>
        </w:rPr>
        <w:t>, 201</w:t>
      </w:r>
      <w:r w:rsidR="009E2096">
        <w:rPr>
          <w:rFonts w:cs="Arial"/>
          <w:bCs/>
          <w:sz w:val="24"/>
        </w:rPr>
        <w:t>9</w:t>
      </w:r>
    </w:p>
    <w:p w14:paraId="63E03E63" w14:textId="77777777" w:rsidR="009E2096" w:rsidRPr="009E2096" w:rsidRDefault="009E2096" w:rsidP="004C790B">
      <w:pPr>
        <w:ind w:left="1985" w:hanging="1985"/>
        <w:rPr>
          <w:rFonts w:ascii="Arial" w:eastAsia="Arial" w:hAnsi="Arial" w:cs="Arial"/>
          <w:b/>
          <w:sz w:val="24"/>
          <w:szCs w:val="24"/>
        </w:rPr>
      </w:pPr>
    </w:p>
    <w:p w14:paraId="303ABFE3" w14:textId="61C1C689" w:rsidR="009E2096" w:rsidRPr="00ED270C" w:rsidRDefault="009E2096" w:rsidP="009E2096">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000010D3">
        <w:rPr>
          <w:b/>
          <w:bCs/>
          <w:sz w:val="24"/>
          <w:szCs w:val="24"/>
        </w:rPr>
        <w:t>5</w:t>
      </w:r>
    </w:p>
    <w:p w14:paraId="58E02A73" w14:textId="77777777" w:rsidR="009E2096" w:rsidRPr="00517D34" w:rsidRDefault="009E2096" w:rsidP="009E2096">
      <w:pPr>
        <w:tabs>
          <w:tab w:val="left" w:pos="1985"/>
        </w:tabs>
        <w:spacing w:after="120"/>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Source:</w:t>
      </w:r>
      <w:r w:rsidRPr="00517D34">
        <w:rPr>
          <w:rFonts w:ascii="Arial" w:hAnsi="Arial" w:cs="Arial"/>
          <w:b/>
          <w:bCs/>
          <w:sz w:val="24"/>
          <w:lang w:val="en-GB"/>
        </w:rPr>
        <w:tab/>
      </w:r>
      <w:r w:rsidRPr="00517D34">
        <w:rPr>
          <w:rFonts w:ascii="Arial" w:eastAsia="Arial" w:hAnsi="Arial" w:cs="Arial"/>
          <w:b/>
          <w:bCs/>
          <w:sz w:val="24"/>
          <w:szCs w:val="24"/>
          <w:lang w:val="en-GB"/>
        </w:rPr>
        <w:t>Nokia, Nokia Shanghai Bell</w:t>
      </w:r>
    </w:p>
    <w:p w14:paraId="2AC96674" w14:textId="78D36739" w:rsidR="009E2096" w:rsidRPr="00517D34" w:rsidRDefault="009E2096" w:rsidP="009E2096">
      <w:pPr>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Title:</w:t>
      </w:r>
      <w:r w:rsidRPr="00517D34">
        <w:rPr>
          <w:rFonts w:ascii="Arial" w:hAnsi="Arial" w:cs="Arial"/>
          <w:b/>
          <w:bCs/>
          <w:sz w:val="24"/>
          <w:lang w:val="en-GB"/>
        </w:rPr>
        <w:tab/>
      </w:r>
      <w:r w:rsidR="005E69DB" w:rsidRPr="005E69DB">
        <w:rPr>
          <w:rFonts w:ascii="Arial" w:hAnsi="Arial" w:cs="Arial"/>
          <w:b/>
          <w:sz w:val="24"/>
          <w:lang w:val="en-GB"/>
        </w:rPr>
        <w:t>On RAN4 UE feature list for NR: Introduction of Maximum UL duty cycle UE capability</w:t>
      </w:r>
    </w:p>
    <w:p w14:paraId="0B6C4078" w14:textId="77777777" w:rsidR="009E2096" w:rsidRPr="00517D34" w:rsidRDefault="009E2096" w:rsidP="009E2096">
      <w:pPr>
        <w:rPr>
          <w:rFonts w:ascii="Arial" w:eastAsia="Arial" w:hAnsi="Arial" w:cs="Arial"/>
          <w:b/>
          <w:bCs/>
          <w:sz w:val="24"/>
          <w:szCs w:val="24"/>
          <w:lang w:val="en-GB"/>
        </w:rPr>
      </w:pPr>
      <w:r w:rsidRPr="00517D34">
        <w:rPr>
          <w:rFonts w:ascii="Arial" w:eastAsia="Arial" w:hAnsi="Arial" w:cs="Arial"/>
          <w:b/>
          <w:bCs/>
          <w:sz w:val="24"/>
          <w:szCs w:val="24"/>
          <w:lang w:val="en-GB"/>
        </w:rPr>
        <w:t>Document for:</w:t>
      </w:r>
      <w:r w:rsidRPr="00517D34">
        <w:rPr>
          <w:rFonts w:ascii="Arial" w:hAnsi="Arial" w:cs="Arial"/>
          <w:b/>
          <w:bCs/>
          <w:sz w:val="24"/>
          <w:lang w:val="en-GB"/>
        </w:rPr>
        <w:tab/>
      </w:r>
      <w:r w:rsidRPr="00517D34">
        <w:rPr>
          <w:rFonts w:ascii="Arial" w:hAnsi="Arial" w:cs="Arial"/>
          <w:b/>
          <w:bCs/>
          <w:sz w:val="24"/>
          <w:lang w:val="en-GB"/>
        </w:rPr>
        <w:tab/>
      </w:r>
      <w:r w:rsidRPr="00517D34">
        <w:rPr>
          <w:rFonts w:ascii="Arial" w:eastAsia="Arial" w:hAnsi="Arial" w:cs="Arial"/>
          <w:b/>
          <w:bCs/>
          <w:sz w:val="24"/>
          <w:szCs w:val="24"/>
          <w:lang w:val="en-GB"/>
        </w:rPr>
        <w:t>Discussion and Decision</w:t>
      </w:r>
    </w:p>
    <w:bookmarkEnd w:id="0"/>
    <w:p w14:paraId="0D2B1006" w14:textId="77777777" w:rsidR="00EA23A7" w:rsidRPr="00EA23A7" w:rsidRDefault="00EA23A7" w:rsidP="000010D3">
      <w:pPr>
        <w:pStyle w:val="Heading1"/>
        <w:ind w:hanging="858"/>
      </w:pPr>
      <w:r w:rsidRPr="00EA23A7">
        <w:t>Introduction</w:t>
      </w:r>
    </w:p>
    <w:p w14:paraId="567F0450" w14:textId="13621EB3" w:rsidR="006E61D1" w:rsidRDefault="006E61D1" w:rsidP="00882D9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RAN4#90 in February 2019 agreed on a new feature on maximum UL duty cycle </w:t>
      </w:r>
      <w:r w:rsidR="00742893">
        <w:rPr>
          <w:rFonts w:ascii="Times New Roman" w:hAnsi="Times New Roman" w:cs="Times New Roman"/>
          <w:sz w:val="20"/>
          <w:szCs w:val="20"/>
          <w:lang w:val="en-GB" w:eastAsia="fi-FI"/>
        </w:rPr>
        <w:t xml:space="preserve">and liaised it to RAN1 </w:t>
      </w:r>
      <w:r>
        <w:rPr>
          <w:rFonts w:ascii="Times New Roman" w:hAnsi="Times New Roman" w:cs="Times New Roman"/>
          <w:sz w:val="20"/>
          <w:szCs w:val="20"/>
          <w:lang w:val="en-GB" w:eastAsia="fi-FI"/>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1"/>
        <w:gridCol w:w="867"/>
        <w:gridCol w:w="2404"/>
        <w:gridCol w:w="1320"/>
        <w:gridCol w:w="1279"/>
        <w:gridCol w:w="2384"/>
        <w:gridCol w:w="1154"/>
      </w:tblGrid>
      <w:tr w:rsidR="006E61D1" w14:paraId="3CE24361" w14:textId="77777777" w:rsidTr="006E61D1">
        <w:trPr>
          <w:trHeight w:val="622"/>
          <w:jc w:val="center"/>
        </w:trPr>
        <w:tc>
          <w:tcPr>
            <w:tcW w:w="221" w:type="dxa"/>
            <w:tcBorders>
              <w:top w:val="single" w:sz="4" w:space="0" w:color="auto"/>
              <w:left w:val="single" w:sz="4" w:space="0" w:color="auto"/>
              <w:bottom w:val="single" w:sz="4" w:space="0" w:color="auto"/>
              <w:right w:val="single" w:sz="4" w:space="0" w:color="auto"/>
            </w:tcBorders>
            <w:vAlign w:val="center"/>
          </w:tcPr>
          <w:p w14:paraId="6D24F415" w14:textId="64A4642C" w:rsidR="006E61D1" w:rsidRDefault="006E61D1" w:rsidP="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w:t>
            </w:r>
          </w:p>
        </w:tc>
        <w:tc>
          <w:tcPr>
            <w:tcW w:w="867" w:type="dxa"/>
            <w:tcBorders>
              <w:top w:val="single" w:sz="4" w:space="0" w:color="auto"/>
              <w:left w:val="single" w:sz="4" w:space="0" w:color="auto"/>
              <w:bottom w:val="single" w:sz="4" w:space="0" w:color="auto"/>
              <w:right w:val="single" w:sz="4" w:space="0" w:color="auto"/>
            </w:tcBorders>
            <w:vAlign w:val="center"/>
          </w:tcPr>
          <w:p w14:paraId="3DB4B8D3" w14:textId="11A3D363" w:rsidR="006E61D1" w:rsidRDefault="006E61D1" w:rsidP="006E61D1">
            <w:pPr>
              <w:snapToGrid w:val="0"/>
              <w:spacing w:after="0"/>
              <w:rPr>
                <w:rFonts w:ascii="Arial" w:eastAsia="MS PGothic" w:hAnsi="Arial" w:cs="Arial"/>
                <w:color w:val="000000"/>
                <w:sz w:val="14"/>
                <w:szCs w:val="16"/>
                <w:lang w:eastAsia="ja-JP"/>
              </w:rPr>
            </w:pPr>
            <w:r>
              <w:rPr>
                <w:rFonts w:ascii="Arial" w:eastAsia="MS PGothic" w:hAnsi="Arial" w:cs="Arial"/>
                <w:color w:val="000000"/>
                <w:sz w:val="14"/>
                <w:szCs w:val="16"/>
              </w:rPr>
              <w:t>Feature group</w:t>
            </w:r>
          </w:p>
        </w:tc>
        <w:tc>
          <w:tcPr>
            <w:tcW w:w="2404" w:type="dxa"/>
            <w:tcBorders>
              <w:top w:val="single" w:sz="4" w:space="0" w:color="auto"/>
              <w:left w:val="single" w:sz="4" w:space="0" w:color="auto"/>
              <w:bottom w:val="single" w:sz="4" w:space="0" w:color="auto"/>
              <w:right w:val="single" w:sz="4" w:space="0" w:color="auto"/>
            </w:tcBorders>
            <w:vAlign w:val="center"/>
          </w:tcPr>
          <w:p w14:paraId="59233F68" w14:textId="54F149EA" w:rsidR="006E61D1" w:rsidRDefault="006E61D1" w:rsidP="006E61D1">
            <w:pPr>
              <w:snapToGrid w:val="0"/>
              <w:spacing w:after="0"/>
              <w:rPr>
                <w:rFonts w:ascii="Arial" w:eastAsia="MS PGothic" w:hAnsi="Arial" w:cs="Arial"/>
                <w:color w:val="000000"/>
                <w:sz w:val="14"/>
                <w:szCs w:val="16"/>
                <w:lang w:eastAsia="ja-JP"/>
              </w:rPr>
            </w:pPr>
            <w:r>
              <w:rPr>
                <w:rFonts w:ascii="Arial" w:eastAsia="MS PGothic" w:hAnsi="Arial" w:cs="Arial"/>
                <w:color w:val="000000"/>
                <w:sz w:val="14"/>
                <w:szCs w:val="16"/>
              </w:rPr>
              <w:t>Components</w:t>
            </w:r>
          </w:p>
        </w:tc>
        <w:tc>
          <w:tcPr>
            <w:tcW w:w="1320" w:type="dxa"/>
            <w:tcBorders>
              <w:top w:val="single" w:sz="4" w:space="0" w:color="auto"/>
              <w:left w:val="single" w:sz="4" w:space="0" w:color="auto"/>
              <w:bottom w:val="single" w:sz="4" w:space="0" w:color="auto"/>
              <w:right w:val="single" w:sz="4" w:space="0" w:color="auto"/>
            </w:tcBorders>
            <w:vAlign w:val="center"/>
          </w:tcPr>
          <w:p w14:paraId="7AA2CFD4" w14:textId="65915DC3" w:rsidR="006E61D1" w:rsidRDefault="006E61D1" w:rsidP="006E61D1">
            <w:pPr>
              <w:snapToGrid w:val="0"/>
              <w:spacing w:after="0"/>
              <w:rPr>
                <w:rFonts w:ascii="Arial" w:eastAsia="MS PGothic" w:hAnsi="Arial" w:cs="Arial"/>
                <w:color w:val="000000"/>
                <w:sz w:val="14"/>
                <w:szCs w:val="16"/>
                <w:lang w:eastAsia="ja-JP"/>
              </w:rPr>
            </w:pPr>
            <w:r>
              <w:rPr>
                <w:rFonts w:ascii="Arial" w:eastAsia="MS PGothic" w:hAnsi="Arial" w:cs="Arial"/>
                <w:color w:val="000000"/>
                <w:sz w:val="14"/>
                <w:szCs w:val="16"/>
              </w:rPr>
              <w:t>Consequences if the feature is not supported by the UE</w:t>
            </w:r>
          </w:p>
        </w:tc>
        <w:tc>
          <w:tcPr>
            <w:tcW w:w="1279" w:type="dxa"/>
            <w:tcBorders>
              <w:top w:val="single" w:sz="4" w:space="0" w:color="auto"/>
              <w:left w:val="single" w:sz="4" w:space="0" w:color="auto"/>
              <w:bottom w:val="single" w:sz="4" w:space="0" w:color="auto"/>
              <w:right w:val="single" w:sz="4" w:space="0" w:color="auto"/>
            </w:tcBorders>
            <w:noWrap/>
            <w:vAlign w:val="center"/>
          </w:tcPr>
          <w:p w14:paraId="2CAA0135" w14:textId="1D00C7CC" w:rsidR="006E61D1" w:rsidRDefault="006E61D1" w:rsidP="006E61D1">
            <w:pPr>
              <w:snapToGrid w:val="0"/>
              <w:spacing w:after="0"/>
              <w:rPr>
                <w:rFonts w:ascii="Arial" w:eastAsia="MS PGothic" w:hAnsi="Arial" w:cs="Arial"/>
                <w:color w:val="000000"/>
                <w:sz w:val="14"/>
                <w:szCs w:val="16"/>
                <w:lang w:eastAsia="ja-JP"/>
              </w:rPr>
            </w:pPr>
            <w:r>
              <w:rPr>
                <w:rFonts w:ascii="Arial" w:eastAsia="MS PGothic" w:hAnsi="Arial" w:cs="Arial"/>
                <w:color w:val="000000"/>
                <w:sz w:val="14"/>
                <w:szCs w:val="16"/>
              </w:rPr>
              <w:t>Need of FR1/FR2 differentiation</w:t>
            </w:r>
          </w:p>
        </w:tc>
        <w:tc>
          <w:tcPr>
            <w:tcW w:w="2384" w:type="dxa"/>
            <w:tcBorders>
              <w:top w:val="single" w:sz="4" w:space="0" w:color="auto"/>
              <w:left w:val="single" w:sz="4" w:space="0" w:color="auto"/>
              <w:bottom w:val="single" w:sz="4" w:space="0" w:color="auto"/>
              <w:right w:val="single" w:sz="4" w:space="0" w:color="auto"/>
            </w:tcBorders>
            <w:vAlign w:val="center"/>
          </w:tcPr>
          <w:p w14:paraId="578859F7" w14:textId="3C43C6C1" w:rsidR="006E61D1" w:rsidRDefault="006E61D1" w:rsidP="006E61D1">
            <w:pPr>
              <w:snapToGrid w:val="0"/>
              <w:rPr>
                <w:rFonts w:ascii="Arial" w:eastAsia="MS PGothic" w:hAnsi="Arial" w:cs="Arial"/>
                <w:color w:val="000000"/>
                <w:sz w:val="14"/>
                <w:szCs w:val="16"/>
                <w:lang w:eastAsia="ja-JP"/>
              </w:rPr>
            </w:pPr>
            <w:r>
              <w:rPr>
                <w:rFonts w:ascii="Arial" w:eastAsia="MS PGothic" w:hAnsi="Arial" w:cs="Arial"/>
                <w:color w:val="000000"/>
                <w:sz w:val="14"/>
                <w:szCs w:val="16"/>
              </w:rPr>
              <w:t>Remarks</w:t>
            </w:r>
          </w:p>
        </w:tc>
        <w:tc>
          <w:tcPr>
            <w:tcW w:w="1154" w:type="dxa"/>
            <w:tcBorders>
              <w:top w:val="single" w:sz="4" w:space="0" w:color="auto"/>
              <w:left w:val="single" w:sz="4" w:space="0" w:color="auto"/>
              <w:bottom w:val="single" w:sz="4" w:space="0" w:color="auto"/>
              <w:right w:val="single" w:sz="4" w:space="0" w:color="auto"/>
            </w:tcBorders>
            <w:vAlign w:val="center"/>
          </w:tcPr>
          <w:p w14:paraId="2D01E606" w14:textId="3ED5A246" w:rsidR="006E61D1" w:rsidRDefault="006E61D1" w:rsidP="006E61D1">
            <w:pPr>
              <w:snapToGrid w:val="0"/>
              <w:spacing w:after="0"/>
              <w:rPr>
                <w:rFonts w:ascii="Arial" w:eastAsia="MS PGothic" w:hAnsi="Arial" w:cs="Arial"/>
                <w:color w:val="000000"/>
                <w:sz w:val="14"/>
                <w:szCs w:val="16"/>
                <w:lang w:eastAsia="ja-JP"/>
              </w:rPr>
            </w:pPr>
            <w:r>
              <w:rPr>
                <w:rFonts w:ascii="Arial" w:eastAsia="MS PGothic" w:hAnsi="Arial" w:cs="Arial"/>
                <w:color w:val="000000"/>
                <w:sz w:val="14"/>
                <w:szCs w:val="16"/>
              </w:rPr>
              <w:t>Recommendation for TSG-RAN</w:t>
            </w:r>
          </w:p>
        </w:tc>
      </w:tr>
      <w:tr w:rsidR="006E61D1" w14:paraId="402379E9" w14:textId="77777777" w:rsidTr="006E61D1">
        <w:trPr>
          <w:trHeight w:val="622"/>
          <w:jc w:val="center"/>
        </w:trPr>
        <w:tc>
          <w:tcPr>
            <w:tcW w:w="221" w:type="dxa"/>
            <w:tcBorders>
              <w:top w:val="single" w:sz="4" w:space="0" w:color="auto"/>
              <w:left w:val="single" w:sz="4" w:space="0" w:color="auto"/>
              <w:bottom w:val="single" w:sz="4" w:space="0" w:color="auto"/>
              <w:right w:val="single" w:sz="4" w:space="0" w:color="auto"/>
            </w:tcBorders>
            <w:vAlign w:val="center"/>
            <w:hideMark/>
          </w:tcPr>
          <w:p w14:paraId="29CB0AD5" w14:textId="77777777" w:rsidR="006E61D1" w:rsidRDefault="006E61D1">
            <w:pPr>
              <w:snapToGrid w:val="0"/>
              <w:spacing w:after="0"/>
              <w:rPr>
                <w:rFonts w:ascii="Arial" w:eastAsia="MS PGothic" w:hAnsi="Arial" w:cs="Arial"/>
                <w:color w:val="000000"/>
                <w:sz w:val="14"/>
                <w:szCs w:val="16"/>
                <w:lang w:eastAsia="ja-JP"/>
              </w:rPr>
            </w:pPr>
            <w:bookmarkStart w:id="3" w:name="_Hlk4521661"/>
            <w:r>
              <w:rPr>
                <w:rFonts w:ascii="Arial" w:eastAsia="MS PGothic" w:hAnsi="Arial" w:cs="Arial"/>
                <w:color w:val="000000"/>
                <w:sz w:val="14"/>
                <w:szCs w:val="16"/>
              </w:rPr>
              <w:t>2-16</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6B5083" w14:textId="77777777" w:rsidR="006E61D1" w:rsidRDefault="006E61D1">
            <w:pPr>
              <w:snapToGrid w:val="0"/>
              <w:spacing w:after="0"/>
              <w:rPr>
                <w:rFonts w:ascii="Arial" w:eastAsia="MS PGothic" w:hAnsi="Arial" w:cs="Arial"/>
                <w:color w:val="000000"/>
                <w:sz w:val="14"/>
                <w:szCs w:val="16"/>
                <w:lang w:eastAsia="ja-JP"/>
              </w:rPr>
            </w:pPr>
            <w:r>
              <w:rPr>
                <w:rFonts w:ascii="Arial" w:eastAsia="MS PGothic" w:hAnsi="Arial" w:cs="Arial"/>
                <w:color w:val="000000"/>
                <w:sz w:val="14"/>
                <w:szCs w:val="16"/>
                <w:lang w:eastAsia="ja-JP"/>
              </w:rPr>
              <w:t xml:space="preserve">Maximum uplink duty cycle </w:t>
            </w:r>
            <w:r>
              <w:rPr>
                <w:rFonts w:ascii="Arial" w:eastAsia="MS PGothic" w:hAnsi="Arial" w:cs="Arial"/>
                <w:color w:val="000000"/>
                <w:sz w:val="14"/>
                <w:szCs w:val="16"/>
              </w:rPr>
              <w:t>for FR2 power class 3 UE</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8FCA833" w14:textId="77777777" w:rsidR="006E61D1" w:rsidRDefault="006E61D1">
            <w:pPr>
              <w:snapToGrid w:val="0"/>
              <w:spacing w:after="0"/>
              <w:rPr>
                <w:rFonts w:ascii="Arial" w:eastAsia="MS PGothic" w:hAnsi="Arial" w:cs="Arial"/>
                <w:color w:val="000000"/>
                <w:sz w:val="14"/>
                <w:szCs w:val="16"/>
              </w:rPr>
            </w:pPr>
            <w:r>
              <w:rPr>
                <w:rFonts w:ascii="Arial" w:eastAsia="MS PGothic" w:hAnsi="Arial" w:cs="Arial"/>
                <w:color w:val="000000"/>
                <w:sz w:val="14"/>
                <w:szCs w:val="16"/>
                <w:lang w:eastAsia="ja-JP"/>
              </w:rPr>
              <w:t xml:space="preserve">1) Maximum percentage of uplink transmission time that can be scheduled within 1s time window </w:t>
            </w:r>
            <w:proofErr w:type="gramStart"/>
            <w:r>
              <w:rPr>
                <w:rFonts w:ascii="Arial" w:eastAsia="MS PGothic" w:hAnsi="Arial" w:cs="Arial"/>
                <w:color w:val="000000"/>
                <w:sz w:val="14"/>
                <w:szCs w:val="16"/>
                <w:lang w:eastAsia="ja-JP"/>
              </w:rPr>
              <w:t>in order to</w:t>
            </w:r>
            <w:proofErr w:type="gramEnd"/>
            <w:r>
              <w:rPr>
                <w:rFonts w:ascii="Arial" w:eastAsia="MS PGothic" w:hAnsi="Arial" w:cs="Arial"/>
                <w:color w:val="000000"/>
                <w:sz w:val="14"/>
                <w:szCs w:val="16"/>
                <w:lang w:eastAsia="ja-JP"/>
              </w:rPr>
              <w:t xml:space="preserve"> ensure compliance with applicable electromagnetic energy absorption requirements provided by regulatory bodies. </w:t>
            </w:r>
            <w:r>
              <w:rPr>
                <w:rFonts w:ascii="Arial" w:eastAsia="MS PGothic" w:hAnsi="Arial" w:cs="Arial"/>
                <w:color w:val="000000"/>
                <w:sz w:val="14"/>
                <w:szCs w:val="16"/>
              </w:rPr>
              <w:t xml:space="preserve">The value range is {2%, 10%, 20%, 30%, 40%, 50%, 60%, 70%, 80%, 90%, 100%}. </w:t>
            </w:r>
          </w:p>
        </w:tc>
        <w:tc>
          <w:tcPr>
            <w:tcW w:w="1320" w:type="dxa"/>
            <w:tcBorders>
              <w:top w:val="single" w:sz="4" w:space="0" w:color="auto"/>
              <w:left w:val="single" w:sz="4" w:space="0" w:color="auto"/>
              <w:bottom w:val="single" w:sz="4" w:space="0" w:color="auto"/>
              <w:right w:val="single" w:sz="4" w:space="0" w:color="auto"/>
            </w:tcBorders>
            <w:vAlign w:val="center"/>
            <w:hideMark/>
          </w:tcPr>
          <w:p w14:paraId="04729C81" w14:textId="77777777" w:rsidR="006E61D1" w:rsidRDefault="006E61D1">
            <w:pPr>
              <w:snapToGrid w:val="0"/>
              <w:spacing w:after="0"/>
              <w:rPr>
                <w:rFonts w:ascii="Arial" w:eastAsia="MS PGothic" w:hAnsi="Arial" w:cs="Arial"/>
                <w:color w:val="000000"/>
                <w:sz w:val="14"/>
                <w:szCs w:val="16"/>
                <w:lang w:eastAsia="ja-JP"/>
              </w:rPr>
            </w:pPr>
            <w:r>
              <w:rPr>
                <w:rFonts w:ascii="Arial" w:eastAsia="MS PGothic" w:hAnsi="Arial" w:cs="Arial"/>
                <w:color w:val="000000"/>
                <w:sz w:val="14"/>
                <w:szCs w:val="16"/>
                <w:lang w:eastAsia="ja-JP"/>
              </w:rPr>
              <w:t>UE relies on the power back off as in TS38.101-2 to ensure the regulatory compliance</w:t>
            </w:r>
          </w:p>
        </w:tc>
        <w:tc>
          <w:tcPr>
            <w:tcW w:w="1279" w:type="dxa"/>
            <w:tcBorders>
              <w:top w:val="single" w:sz="4" w:space="0" w:color="auto"/>
              <w:left w:val="single" w:sz="4" w:space="0" w:color="auto"/>
              <w:bottom w:val="single" w:sz="4" w:space="0" w:color="auto"/>
              <w:right w:val="single" w:sz="4" w:space="0" w:color="auto"/>
            </w:tcBorders>
            <w:noWrap/>
            <w:vAlign w:val="center"/>
            <w:hideMark/>
          </w:tcPr>
          <w:p w14:paraId="7D728434" w14:textId="77777777" w:rsidR="006E61D1" w:rsidRDefault="006E61D1">
            <w:pPr>
              <w:snapToGrid w:val="0"/>
              <w:spacing w:after="0"/>
              <w:rPr>
                <w:rFonts w:ascii="Arial" w:eastAsia="MS PGothic" w:hAnsi="Arial" w:cs="Arial"/>
                <w:color w:val="000000"/>
                <w:sz w:val="14"/>
                <w:szCs w:val="16"/>
                <w:lang w:eastAsia="ja-JP"/>
              </w:rPr>
            </w:pPr>
            <w:r>
              <w:rPr>
                <w:rFonts w:ascii="Arial" w:eastAsia="MS PGothic" w:hAnsi="Arial" w:cs="Arial"/>
                <w:color w:val="000000"/>
                <w:sz w:val="14"/>
                <w:szCs w:val="16"/>
                <w:lang w:eastAsia="ja-JP"/>
              </w:rPr>
              <w:t xml:space="preserve">Applicable only to FR2 </w:t>
            </w:r>
          </w:p>
        </w:tc>
        <w:tc>
          <w:tcPr>
            <w:tcW w:w="2384" w:type="dxa"/>
            <w:tcBorders>
              <w:top w:val="single" w:sz="4" w:space="0" w:color="auto"/>
              <w:left w:val="single" w:sz="4" w:space="0" w:color="auto"/>
              <w:bottom w:val="single" w:sz="4" w:space="0" w:color="auto"/>
              <w:right w:val="single" w:sz="4" w:space="0" w:color="auto"/>
            </w:tcBorders>
            <w:vAlign w:val="center"/>
            <w:hideMark/>
          </w:tcPr>
          <w:p w14:paraId="0C29A3F9" w14:textId="77777777" w:rsidR="006E61D1" w:rsidRDefault="006E61D1">
            <w:pPr>
              <w:snapToGrid w:val="0"/>
              <w:rPr>
                <w:rFonts w:ascii="Arial" w:eastAsia="MS PGothic" w:hAnsi="Arial" w:cs="Arial"/>
                <w:color w:val="000000"/>
                <w:sz w:val="14"/>
                <w:szCs w:val="16"/>
                <w:lang w:eastAsia="ja-JP"/>
              </w:rPr>
            </w:pPr>
            <w:r>
              <w:rPr>
                <w:rFonts w:ascii="Arial" w:eastAsia="MS PGothic" w:hAnsi="Arial" w:cs="Arial"/>
                <w:color w:val="000000"/>
                <w:sz w:val="14"/>
                <w:szCs w:val="16"/>
                <w:lang w:eastAsia="ja-JP"/>
              </w:rPr>
              <w:t>Per band capability.</w:t>
            </w:r>
          </w:p>
          <w:p w14:paraId="3484359D" w14:textId="77777777" w:rsidR="006E61D1" w:rsidRDefault="006E61D1">
            <w:pPr>
              <w:snapToGrid w:val="0"/>
              <w:rPr>
                <w:rFonts w:ascii="Arial" w:eastAsia="MS PGothic" w:hAnsi="Arial" w:cs="Arial"/>
                <w:color w:val="000000"/>
                <w:sz w:val="14"/>
                <w:szCs w:val="16"/>
                <w:lang w:eastAsia="ja-JP"/>
              </w:rPr>
            </w:pPr>
            <w:r>
              <w:rPr>
                <w:rFonts w:ascii="Arial" w:eastAsia="MS PGothic" w:hAnsi="Arial" w:cs="Arial"/>
                <w:color w:val="000000"/>
                <w:sz w:val="14"/>
                <w:szCs w:val="16"/>
              </w:rPr>
              <w:t xml:space="preserve">Default value is </w:t>
            </w:r>
            <w:r>
              <w:rPr>
                <w:rFonts w:ascii="Arial" w:eastAsia="MS PGothic" w:hAnsi="Arial" w:cs="Arial"/>
                <w:color w:val="000000"/>
                <w:sz w:val="14"/>
                <w:szCs w:val="16"/>
                <w:lang w:eastAsia="ja-JP"/>
              </w:rPr>
              <w:t>FFS</w:t>
            </w:r>
          </w:p>
          <w:p w14:paraId="4F099DAD" w14:textId="77777777" w:rsidR="006E61D1" w:rsidRDefault="006E61D1">
            <w:pPr>
              <w:snapToGrid w:val="0"/>
              <w:spacing w:after="0"/>
              <w:rPr>
                <w:rFonts w:ascii="Arial" w:eastAsia="MS PGothic" w:hAnsi="Arial" w:cs="Arial"/>
                <w:color w:val="000000"/>
                <w:sz w:val="14"/>
                <w:szCs w:val="16"/>
                <w:lang w:eastAsia="ja-JP"/>
              </w:rPr>
            </w:pPr>
            <w:bookmarkStart w:id="4" w:name="_Hlk4521722"/>
            <w:r>
              <w:rPr>
                <w:rFonts w:ascii="Arial" w:eastAsia="MS PGothic" w:hAnsi="Arial" w:cs="Arial"/>
                <w:color w:val="000000"/>
                <w:sz w:val="14"/>
                <w:szCs w:val="16"/>
                <w:lang w:eastAsia="ja-JP"/>
              </w:rPr>
              <w:t>For a FR2 UE when the percentage of uplink transmission time scheduled within a certain evaluation period is larger than its capability, UE could do power back off as in TS38.101-2.</w:t>
            </w:r>
            <w:bookmarkEnd w:id="4"/>
          </w:p>
        </w:tc>
        <w:tc>
          <w:tcPr>
            <w:tcW w:w="1154" w:type="dxa"/>
            <w:tcBorders>
              <w:top w:val="single" w:sz="4" w:space="0" w:color="auto"/>
              <w:left w:val="single" w:sz="4" w:space="0" w:color="auto"/>
              <w:bottom w:val="single" w:sz="4" w:space="0" w:color="auto"/>
              <w:right w:val="single" w:sz="4" w:space="0" w:color="auto"/>
            </w:tcBorders>
            <w:vAlign w:val="center"/>
          </w:tcPr>
          <w:p w14:paraId="079FDBE0" w14:textId="77777777" w:rsidR="006E61D1" w:rsidRDefault="006E61D1">
            <w:pPr>
              <w:snapToGrid w:val="0"/>
              <w:spacing w:after="0"/>
              <w:rPr>
                <w:rFonts w:ascii="Arial" w:eastAsia="MS PGothic" w:hAnsi="Arial" w:cs="Arial"/>
                <w:color w:val="000000"/>
                <w:sz w:val="14"/>
                <w:szCs w:val="16"/>
                <w:lang w:eastAsia="ja-JP"/>
              </w:rPr>
            </w:pPr>
            <w:r>
              <w:rPr>
                <w:rFonts w:ascii="Arial" w:eastAsia="MS PGothic" w:hAnsi="Arial" w:cs="Arial"/>
                <w:color w:val="000000"/>
                <w:sz w:val="14"/>
                <w:szCs w:val="16"/>
                <w:lang w:eastAsia="ja-JP"/>
              </w:rPr>
              <w:t>Mandatory to report non-default uplink duty cycle if UE supports</w:t>
            </w:r>
          </w:p>
          <w:p w14:paraId="1AC2D99F" w14:textId="77777777" w:rsidR="006E61D1" w:rsidRDefault="006E61D1">
            <w:pPr>
              <w:snapToGrid w:val="0"/>
              <w:spacing w:after="0"/>
              <w:rPr>
                <w:rFonts w:ascii="Arial" w:eastAsia="MS PGothic" w:hAnsi="Arial" w:cs="Arial"/>
                <w:color w:val="000000"/>
                <w:sz w:val="14"/>
                <w:szCs w:val="16"/>
              </w:rPr>
            </w:pPr>
          </w:p>
        </w:tc>
      </w:tr>
      <w:bookmarkEnd w:id="3"/>
    </w:tbl>
    <w:p w14:paraId="4E23178A" w14:textId="68DB77E1" w:rsidR="006E61D1" w:rsidRDefault="006E61D1" w:rsidP="00882D99">
      <w:pPr>
        <w:spacing w:after="120"/>
        <w:jc w:val="both"/>
        <w:rPr>
          <w:rFonts w:ascii="Times New Roman" w:hAnsi="Times New Roman" w:cs="Times New Roman"/>
          <w:sz w:val="20"/>
          <w:szCs w:val="20"/>
          <w:lang w:eastAsia="fi-FI"/>
        </w:rPr>
      </w:pPr>
    </w:p>
    <w:p w14:paraId="4692E215" w14:textId="507F02C4" w:rsidR="004A6018" w:rsidRDefault="004A6018" w:rsidP="00882D99">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Further RAN#83 in March 2019 endorsed a way forward for the capability that had slight modifications to the capability, and tasked RAN2 to evaluate backwards compatibility [</w:t>
      </w:r>
      <w:r w:rsidR="00742893">
        <w:rPr>
          <w:rFonts w:ascii="Times New Roman" w:hAnsi="Times New Roman" w:cs="Times New Roman"/>
          <w:sz w:val="20"/>
          <w:szCs w:val="20"/>
          <w:lang w:eastAsia="fi-FI"/>
        </w:rPr>
        <w:t>2</w:t>
      </w:r>
      <w:r>
        <w:rPr>
          <w:rFonts w:ascii="Times New Roman" w:hAnsi="Times New Roman" w:cs="Times New Roman"/>
          <w:sz w:val="20"/>
          <w:szCs w:val="20"/>
          <w:lang w:eastAsia="fi-FI"/>
        </w:rPr>
        <w:t>]:</w:t>
      </w:r>
    </w:p>
    <w:tbl>
      <w:tblPr>
        <w:tblStyle w:val="TableGrid"/>
        <w:tblW w:w="0" w:type="auto"/>
        <w:tblInd w:w="455" w:type="dxa"/>
        <w:tblLook w:val="04A0" w:firstRow="1" w:lastRow="0" w:firstColumn="1" w:lastColumn="0" w:noHBand="0" w:noVBand="1"/>
      </w:tblPr>
      <w:tblGrid>
        <w:gridCol w:w="8642"/>
      </w:tblGrid>
      <w:tr w:rsidR="004A6018" w14:paraId="15C950C1" w14:textId="77777777" w:rsidTr="0048283A">
        <w:tc>
          <w:tcPr>
            <w:tcW w:w="8642" w:type="dxa"/>
          </w:tcPr>
          <w:p w14:paraId="23BB6B4B" w14:textId="77777777" w:rsidR="00DA06AB" w:rsidRPr="004A6018" w:rsidRDefault="00B35D24" w:rsidP="004A6018">
            <w:pPr>
              <w:numPr>
                <w:ilvl w:val="0"/>
                <w:numId w:val="52"/>
              </w:numPr>
              <w:spacing w:after="120"/>
              <w:jc w:val="both"/>
              <w:rPr>
                <w:rFonts w:ascii="Times New Roman" w:hAnsi="Times New Roman" w:cs="Times New Roman"/>
                <w:sz w:val="20"/>
                <w:szCs w:val="20"/>
                <w:lang w:eastAsia="fi-FI"/>
              </w:rPr>
            </w:pPr>
            <w:r w:rsidRPr="004A6018">
              <w:rPr>
                <w:rFonts w:ascii="Times New Roman" w:hAnsi="Times New Roman" w:cs="Times New Roman"/>
                <w:sz w:val="20"/>
                <w:szCs w:val="20"/>
                <w:lang w:eastAsia="fi-FI"/>
              </w:rPr>
              <w:t xml:space="preserve">RAN#83 has discussed RAN4’s agreement on </w:t>
            </w:r>
            <w:r w:rsidRPr="004A6018">
              <w:rPr>
                <w:rFonts w:ascii="Times New Roman" w:hAnsi="Times New Roman" w:cs="Times New Roman"/>
                <w:sz w:val="20"/>
                <w:szCs w:val="20"/>
                <w:lang w:val="en-GB" w:eastAsia="fi-FI"/>
              </w:rPr>
              <w:t xml:space="preserve">FR2 </w:t>
            </w:r>
            <w:proofErr w:type="spellStart"/>
            <w:r w:rsidRPr="004A6018">
              <w:rPr>
                <w:rFonts w:ascii="Times New Roman" w:hAnsi="Times New Roman" w:cs="Times New Roman"/>
                <w:sz w:val="20"/>
                <w:szCs w:val="20"/>
                <w:lang w:val="en-GB" w:eastAsia="fi-FI"/>
              </w:rPr>
              <w:t>maxUplinkDutyCycle</w:t>
            </w:r>
            <w:proofErr w:type="spellEnd"/>
            <w:r w:rsidRPr="004A6018">
              <w:rPr>
                <w:rFonts w:ascii="Times New Roman" w:hAnsi="Times New Roman" w:cs="Times New Roman"/>
                <w:sz w:val="20"/>
                <w:szCs w:val="20"/>
                <w:lang w:val="en-GB" w:eastAsia="fi-FI"/>
              </w:rPr>
              <w:t xml:space="preserve"> capability values for PC3 UE</w:t>
            </w:r>
            <w:r w:rsidRPr="004A6018">
              <w:rPr>
                <w:rFonts w:ascii="Times New Roman" w:hAnsi="Times New Roman" w:cs="Times New Roman"/>
                <w:sz w:val="20"/>
                <w:szCs w:val="20"/>
                <w:lang w:eastAsia="fi-FI"/>
              </w:rPr>
              <w:t xml:space="preserve"> in [1]. </w:t>
            </w:r>
          </w:p>
          <w:p w14:paraId="680FCEAC" w14:textId="1F874D55" w:rsidR="00DA06AB" w:rsidRPr="004A6018" w:rsidRDefault="00B35D24" w:rsidP="004A6018">
            <w:pPr>
              <w:numPr>
                <w:ilvl w:val="0"/>
                <w:numId w:val="52"/>
              </w:numPr>
              <w:spacing w:after="120"/>
              <w:jc w:val="both"/>
              <w:rPr>
                <w:rFonts w:ascii="Times New Roman" w:hAnsi="Times New Roman" w:cs="Times New Roman"/>
                <w:sz w:val="20"/>
                <w:szCs w:val="20"/>
                <w:lang w:eastAsia="fi-FI"/>
              </w:rPr>
            </w:pPr>
            <w:r w:rsidRPr="004A6018">
              <w:rPr>
                <w:rFonts w:ascii="Times New Roman" w:hAnsi="Times New Roman" w:cs="Times New Roman"/>
                <w:sz w:val="20"/>
                <w:szCs w:val="20"/>
                <w:lang w:eastAsia="fi-FI"/>
              </w:rPr>
              <w:t xml:space="preserve">RAN would like to inform RAN4 and RAN2 that it has updated the </w:t>
            </w:r>
            <w:r w:rsidRPr="004A6018">
              <w:rPr>
                <w:rFonts w:ascii="Times New Roman" w:hAnsi="Times New Roman" w:cs="Times New Roman"/>
                <w:sz w:val="20"/>
                <w:szCs w:val="20"/>
                <w:lang w:val="en-GB" w:eastAsia="fi-FI"/>
              </w:rPr>
              <w:t xml:space="preserve">FR2 </w:t>
            </w:r>
            <w:proofErr w:type="spellStart"/>
            <w:r w:rsidRPr="004A6018">
              <w:rPr>
                <w:rFonts w:ascii="Times New Roman" w:hAnsi="Times New Roman" w:cs="Times New Roman"/>
                <w:sz w:val="20"/>
                <w:szCs w:val="20"/>
                <w:lang w:val="en-GB" w:eastAsia="fi-FI"/>
              </w:rPr>
              <w:t>maxUplinkDutyCycle</w:t>
            </w:r>
            <w:proofErr w:type="spellEnd"/>
            <w:r w:rsidRPr="004A6018">
              <w:rPr>
                <w:rFonts w:ascii="Times New Roman" w:hAnsi="Times New Roman" w:cs="Times New Roman"/>
                <w:sz w:val="20"/>
                <w:szCs w:val="20"/>
                <w:lang w:val="en-GB" w:eastAsia="fi-FI"/>
              </w:rPr>
              <w:t xml:space="preserve"> capability values as follows </w:t>
            </w:r>
            <w:r w:rsidRPr="004A6018">
              <w:rPr>
                <w:rFonts w:ascii="Times New Roman" w:hAnsi="Times New Roman" w:cs="Times New Roman"/>
                <w:sz w:val="20"/>
                <w:szCs w:val="20"/>
                <w:lang w:eastAsia="fi-FI"/>
              </w:rPr>
              <w:t>{</w:t>
            </w:r>
            <w:r w:rsidRPr="004A6018">
              <w:rPr>
                <w:rFonts w:ascii="Times New Roman" w:hAnsi="Times New Roman" w:cs="Times New Roman"/>
                <w:strike/>
                <w:color w:val="FF0000"/>
                <w:sz w:val="20"/>
                <w:szCs w:val="20"/>
                <w:lang w:eastAsia="fi-FI"/>
              </w:rPr>
              <w:t xml:space="preserve">2%, </w:t>
            </w:r>
            <w:r w:rsidRPr="004A6018">
              <w:rPr>
                <w:rFonts w:ascii="Times New Roman" w:hAnsi="Times New Roman" w:cs="Times New Roman"/>
                <w:sz w:val="20"/>
                <w:szCs w:val="20"/>
                <w:lang w:eastAsia="fi-FI"/>
              </w:rPr>
              <w:t xml:space="preserve">10% (TBD), 20%, </w:t>
            </w:r>
            <w:r w:rsidRPr="004A6018">
              <w:rPr>
                <w:rFonts w:ascii="Times New Roman" w:hAnsi="Times New Roman" w:cs="Times New Roman"/>
                <w:color w:val="FF0000"/>
                <w:sz w:val="20"/>
                <w:szCs w:val="20"/>
                <w:u w:val="single"/>
                <w:lang w:eastAsia="fi-FI"/>
              </w:rPr>
              <w:t xml:space="preserve">25%, </w:t>
            </w:r>
            <w:r w:rsidRPr="004A6018">
              <w:rPr>
                <w:rFonts w:ascii="Times New Roman" w:hAnsi="Times New Roman" w:cs="Times New Roman"/>
                <w:sz w:val="20"/>
                <w:szCs w:val="20"/>
                <w:lang w:eastAsia="fi-FI"/>
              </w:rPr>
              <w:t xml:space="preserve">30%, 40%, 50%, 60%, 70%, 80%, 90%, 100%} </w:t>
            </w:r>
          </w:p>
          <w:p w14:paraId="41787FB1" w14:textId="6703BA91" w:rsidR="00DA06AB" w:rsidRPr="004A6018" w:rsidRDefault="00B35D24" w:rsidP="004A6018">
            <w:pPr>
              <w:numPr>
                <w:ilvl w:val="0"/>
                <w:numId w:val="52"/>
              </w:numPr>
              <w:spacing w:after="120"/>
              <w:jc w:val="both"/>
              <w:rPr>
                <w:rFonts w:ascii="Times New Roman" w:hAnsi="Times New Roman" w:cs="Times New Roman"/>
                <w:sz w:val="20"/>
                <w:szCs w:val="20"/>
                <w:lang w:eastAsia="fi-FI"/>
              </w:rPr>
            </w:pPr>
            <w:r w:rsidRPr="004A6018">
              <w:rPr>
                <w:rFonts w:ascii="Times New Roman" w:hAnsi="Times New Roman" w:cs="Times New Roman"/>
                <w:sz w:val="20"/>
                <w:szCs w:val="20"/>
                <w:lang w:eastAsia="fi-FI"/>
              </w:rPr>
              <w:t xml:space="preserve">RAN4 is asked whether any value </w:t>
            </w:r>
            <w:r w:rsidR="004A6018">
              <w:rPr>
                <w:rFonts w:ascii="Times New Roman" w:hAnsi="Times New Roman" w:cs="Times New Roman"/>
                <w:sz w:val="20"/>
                <w:szCs w:val="20"/>
                <w:lang w:eastAsia="fi-FI"/>
              </w:rPr>
              <w:t>≤</w:t>
            </w:r>
            <w:r w:rsidRPr="004A6018">
              <w:rPr>
                <w:rFonts w:ascii="Times New Roman" w:hAnsi="Times New Roman" w:cs="Times New Roman"/>
                <w:sz w:val="20"/>
                <w:szCs w:val="20"/>
                <w:lang w:eastAsia="fi-FI"/>
              </w:rPr>
              <w:t xml:space="preserve"> 10% should be added</w:t>
            </w:r>
          </w:p>
          <w:p w14:paraId="46C76FA9" w14:textId="77777777" w:rsidR="00DA06AB" w:rsidRPr="004A6018" w:rsidRDefault="00B35D24" w:rsidP="004A6018">
            <w:pPr>
              <w:numPr>
                <w:ilvl w:val="0"/>
                <w:numId w:val="52"/>
              </w:numPr>
              <w:spacing w:after="120"/>
              <w:jc w:val="both"/>
              <w:rPr>
                <w:rFonts w:ascii="Times New Roman" w:hAnsi="Times New Roman" w:cs="Times New Roman"/>
                <w:sz w:val="20"/>
                <w:szCs w:val="20"/>
                <w:lang w:eastAsia="fi-FI"/>
              </w:rPr>
            </w:pPr>
            <w:r w:rsidRPr="004A6018">
              <w:rPr>
                <w:rFonts w:ascii="Times New Roman" w:hAnsi="Times New Roman" w:cs="Times New Roman"/>
                <w:sz w:val="20"/>
                <w:szCs w:val="20"/>
                <w:lang w:eastAsia="fi-FI"/>
              </w:rPr>
              <w:t xml:space="preserve">RAN asks </w:t>
            </w:r>
          </w:p>
          <w:p w14:paraId="6C136F5F" w14:textId="77777777" w:rsidR="00DA06AB" w:rsidRPr="004A6018" w:rsidRDefault="00B35D24" w:rsidP="004A6018">
            <w:pPr>
              <w:numPr>
                <w:ilvl w:val="1"/>
                <w:numId w:val="52"/>
              </w:numPr>
              <w:spacing w:after="120"/>
              <w:jc w:val="both"/>
              <w:rPr>
                <w:rFonts w:ascii="Times New Roman" w:hAnsi="Times New Roman" w:cs="Times New Roman"/>
                <w:sz w:val="20"/>
                <w:szCs w:val="20"/>
                <w:lang w:eastAsia="fi-FI"/>
              </w:rPr>
            </w:pPr>
            <w:r w:rsidRPr="004A6018">
              <w:rPr>
                <w:rFonts w:ascii="Times New Roman" w:hAnsi="Times New Roman" w:cs="Times New Roman"/>
                <w:sz w:val="20"/>
                <w:szCs w:val="20"/>
                <w:lang w:eastAsia="fi-FI"/>
              </w:rPr>
              <w:t xml:space="preserve">RAN2 to introduce </w:t>
            </w:r>
            <w:r w:rsidRPr="004A6018">
              <w:rPr>
                <w:rFonts w:ascii="Times New Roman" w:hAnsi="Times New Roman" w:cs="Times New Roman"/>
                <w:sz w:val="20"/>
                <w:szCs w:val="20"/>
                <w:lang w:val="en-GB" w:eastAsia="fi-FI"/>
              </w:rPr>
              <w:t xml:space="preserve">FR2 </w:t>
            </w:r>
            <w:proofErr w:type="spellStart"/>
            <w:r w:rsidRPr="004A6018">
              <w:rPr>
                <w:rFonts w:ascii="Times New Roman" w:hAnsi="Times New Roman" w:cs="Times New Roman"/>
                <w:sz w:val="20"/>
                <w:szCs w:val="20"/>
                <w:lang w:val="en-GB" w:eastAsia="fi-FI"/>
              </w:rPr>
              <w:t>maxUplinkDutyCycle</w:t>
            </w:r>
            <w:proofErr w:type="spellEnd"/>
            <w:r w:rsidRPr="004A6018">
              <w:rPr>
                <w:rFonts w:ascii="Times New Roman" w:hAnsi="Times New Roman" w:cs="Times New Roman"/>
                <w:sz w:val="20"/>
                <w:szCs w:val="20"/>
                <w:lang w:val="en-GB" w:eastAsia="fi-FI"/>
              </w:rPr>
              <w:t xml:space="preserve"> capability signalling accordingly</w:t>
            </w:r>
          </w:p>
          <w:p w14:paraId="4C2DD821" w14:textId="405532B6" w:rsidR="004A6018" w:rsidRPr="004A6018" w:rsidRDefault="00B35D24" w:rsidP="00882D99">
            <w:pPr>
              <w:numPr>
                <w:ilvl w:val="1"/>
                <w:numId w:val="52"/>
              </w:numPr>
              <w:spacing w:after="120"/>
              <w:jc w:val="both"/>
              <w:rPr>
                <w:rFonts w:ascii="Times New Roman" w:hAnsi="Times New Roman" w:cs="Times New Roman"/>
                <w:sz w:val="20"/>
                <w:szCs w:val="20"/>
                <w:lang w:eastAsia="fi-FI"/>
              </w:rPr>
            </w:pPr>
            <w:r w:rsidRPr="004A6018">
              <w:rPr>
                <w:rFonts w:ascii="Times New Roman" w:hAnsi="Times New Roman" w:cs="Times New Roman"/>
                <w:sz w:val="20"/>
                <w:szCs w:val="20"/>
                <w:lang w:eastAsia="fi-FI"/>
              </w:rPr>
              <w:t>RAN2 to evaluate backwards compatibility</w:t>
            </w:r>
          </w:p>
        </w:tc>
      </w:tr>
    </w:tbl>
    <w:p w14:paraId="45051B46" w14:textId="2CB6A435" w:rsidR="004A6018" w:rsidRDefault="004A6018" w:rsidP="00882D99">
      <w:pPr>
        <w:spacing w:after="120"/>
        <w:jc w:val="both"/>
        <w:rPr>
          <w:rFonts w:ascii="Times New Roman" w:hAnsi="Times New Roman" w:cs="Times New Roman"/>
          <w:sz w:val="20"/>
          <w:szCs w:val="20"/>
          <w:lang w:eastAsia="fi-FI"/>
        </w:rPr>
      </w:pPr>
    </w:p>
    <w:p w14:paraId="75C66349" w14:textId="55FE69B5" w:rsidR="00742893" w:rsidRDefault="00742893" w:rsidP="00882D99">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This was also captured in the RAN#83 update to the RAN4 feature list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1"/>
        <w:gridCol w:w="867"/>
        <w:gridCol w:w="2404"/>
        <w:gridCol w:w="1320"/>
        <w:gridCol w:w="1279"/>
        <w:gridCol w:w="2384"/>
        <w:gridCol w:w="1154"/>
      </w:tblGrid>
      <w:tr w:rsidR="00742893" w14:paraId="3E380C35" w14:textId="77777777" w:rsidTr="000529ED">
        <w:trPr>
          <w:trHeight w:val="622"/>
          <w:jc w:val="center"/>
        </w:trPr>
        <w:tc>
          <w:tcPr>
            <w:tcW w:w="221" w:type="dxa"/>
            <w:tcBorders>
              <w:top w:val="single" w:sz="4" w:space="0" w:color="auto"/>
              <w:left w:val="single" w:sz="4" w:space="0" w:color="auto"/>
              <w:bottom w:val="single" w:sz="4" w:space="0" w:color="auto"/>
              <w:right w:val="single" w:sz="4" w:space="0" w:color="auto"/>
            </w:tcBorders>
            <w:vAlign w:val="center"/>
          </w:tcPr>
          <w:p w14:paraId="2682C99B" w14:textId="77777777" w:rsidR="00742893" w:rsidRDefault="00742893" w:rsidP="000529ED">
            <w:pPr>
              <w:snapToGrid w:val="0"/>
              <w:spacing w:after="0"/>
              <w:rPr>
                <w:rFonts w:ascii="Arial" w:eastAsia="MS PGothic" w:hAnsi="Arial" w:cs="Arial"/>
                <w:color w:val="000000"/>
                <w:sz w:val="14"/>
                <w:szCs w:val="16"/>
              </w:rPr>
            </w:pPr>
            <w:r>
              <w:rPr>
                <w:rFonts w:ascii="Arial" w:eastAsia="MS PGothic" w:hAnsi="Arial" w:cs="Arial"/>
                <w:color w:val="000000"/>
                <w:sz w:val="14"/>
                <w:szCs w:val="16"/>
              </w:rPr>
              <w:t>#</w:t>
            </w:r>
          </w:p>
        </w:tc>
        <w:tc>
          <w:tcPr>
            <w:tcW w:w="867" w:type="dxa"/>
            <w:tcBorders>
              <w:top w:val="single" w:sz="4" w:space="0" w:color="auto"/>
              <w:left w:val="single" w:sz="4" w:space="0" w:color="auto"/>
              <w:bottom w:val="single" w:sz="4" w:space="0" w:color="auto"/>
              <w:right w:val="single" w:sz="4" w:space="0" w:color="auto"/>
            </w:tcBorders>
            <w:vAlign w:val="center"/>
          </w:tcPr>
          <w:p w14:paraId="027D199A" w14:textId="77777777" w:rsidR="00742893" w:rsidRDefault="00742893" w:rsidP="000529ED">
            <w:pPr>
              <w:snapToGrid w:val="0"/>
              <w:spacing w:after="0"/>
              <w:rPr>
                <w:rFonts w:ascii="Arial" w:eastAsia="MS PGothic" w:hAnsi="Arial" w:cs="Arial"/>
                <w:color w:val="000000"/>
                <w:sz w:val="14"/>
                <w:szCs w:val="16"/>
                <w:lang w:eastAsia="ja-JP"/>
              </w:rPr>
            </w:pPr>
            <w:r>
              <w:rPr>
                <w:rFonts w:ascii="Arial" w:eastAsia="MS PGothic" w:hAnsi="Arial" w:cs="Arial"/>
                <w:color w:val="000000"/>
                <w:sz w:val="14"/>
                <w:szCs w:val="16"/>
              </w:rPr>
              <w:t>Feature group</w:t>
            </w:r>
          </w:p>
        </w:tc>
        <w:tc>
          <w:tcPr>
            <w:tcW w:w="2404" w:type="dxa"/>
            <w:tcBorders>
              <w:top w:val="single" w:sz="4" w:space="0" w:color="auto"/>
              <w:left w:val="single" w:sz="4" w:space="0" w:color="auto"/>
              <w:bottom w:val="single" w:sz="4" w:space="0" w:color="auto"/>
              <w:right w:val="single" w:sz="4" w:space="0" w:color="auto"/>
            </w:tcBorders>
            <w:vAlign w:val="center"/>
          </w:tcPr>
          <w:p w14:paraId="144BD7B4" w14:textId="77777777" w:rsidR="00742893" w:rsidRDefault="00742893" w:rsidP="000529ED">
            <w:pPr>
              <w:snapToGrid w:val="0"/>
              <w:spacing w:after="0"/>
              <w:rPr>
                <w:rFonts w:ascii="Arial" w:eastAsia="MS PGothic" w:hAnsi="Arial" w:cs="Arial"/>
                <w:color w:val="000000"/>
                <w:sz w:val="14"/>
                <w:szCs w:val="16"/>
                <w:lang w:eastAsia="ja-JP"/>
              </w:rPr>
            </w:pPr>
            <w:r>
              <w:rPr>
                <w:rFonts w:ascii="Arial" w:eastAsia="MS PGothic" w:hAnsi="Arial" w:cs="Arial"/>
                <w:color w:val="000000"/>
                <w:sz w:val="14"/>
                <w:szCs w:val="16"/>
              </w:rPr>
              <w:t>Components</w:t>
            </w:r>
          </w:p>
        </w:tc>
        <w:tc>
          <w:tcPr>
            <w:tcW w:w="1320" w:type="dxa"/>
            <w:tcBorders>
              <w:top w:val="single" w:sz="4" w:space="0" w:color="auto"/>
              <w:left w:val="single" w:sz="4" w:space="0" w:color="auto"/>
              <w:bottom w:val="single" w:sz="4" w:space="0" w:color="auto"/>
              <w:right w:val="single" w:sz="4" w:space="0" w:color="auto"/>
            </w:tcBorders>
            <w:vAlign w:val="center"/>
          </w:tcPr>
          <w:p w14:paraId="3C9ED50E" w14:textId="77777777" w:rsidR="00742893" w:rsidRDefault="00742893" w:rsidP="000529ED">
            <w:pPr>
              <w:snapToGrid w:val="0"/>
              <w:spacing w:after="0"/>
              <w:rPr>
                <w:rFonts w:ascii="Arial" w:eastAsia="MS PGothic" w:hAnsi="Arial" w:cs="Arial"/>
                <w:color w:val="000000"/>
                <w:sz w:val="14"/>
                <w:szCs w:val="16"/>
                <w:lang w:eastAsia="ja-JP"/>
              </w:rPr>
            </w:pPr>
            <w:r>
              <w:rPr>
                <w:rFonts w:ascii="Arial" w:eastAsia="MS PGothic" w:hAnsi="Arial" w:cs="Arial"/>
                <w:color w:val="000000"/>
                <w:sz w:val="14"/>
                <w:szCs w:val="16"/>
              </w:rPr>
              <w:t>Consequences if the feature is not supported by the UE</w:t>
            </w:r>
          </w:p>
        </w:tc>
        <w:tc>
          <w:tcPr>
            <w:tcW w:w="1279" w:type="dxa"/>
            <w:tcBorders>
              <w:top w:val="single" w:sz="4" w:space="0" w:color="auto"/>
              <w:left w:val="single" w:sz="4" w:space="0" w:color="auto"/>
              <w:bottom w:val="single" w:sz="4" w:space="0" w:color="auto"/>
              <w:right w:val="single" w:sz="4" w:space="0" w:color="auto"/>
            </w:tcBorders>
            <w:noWrap/>
            <w:vAlign w:val="center"/>
          </w:tcPr>
          <w:p w14:paraId="34606190" w14:textId="77777777" w:rsidR="00742893" w:rsidRDefault="00742893" w:rsidP="000529ED">
            <w:pPr>
              <w:snapToGrid w:val="0"/>
              <w:spacing w:after="0"/>
              <w:rPr>
                <w:rFonts w:ascii="Arial" w:eastAsia="MS PGothic" w:hAnsi="Arial" w:cs="Arial"/>
                <w:color w:val="000000"/>
                <w:sz w:val="14"/>
                <w:szCs w:val="16"/>
                <w:lang w:eastAsia="ja-JP"/>
              </w:rPr>
            </w:pPr>
            <w:r>
              <w:rPr>
                <w:rFonts w:ascii="Arial" w:eastAsia="MS PGothic" w:hAnsi="Arial" w:cs="Arial"/>
                <w:color w:val="000000"/>
                <w:sz w:val="14"/>
                <w:szCs w:val="16"/>
              </w:rPr>
              <w:t>Need of FR1/FR2 differentiation</w:t>
            </w:r>
          </w:p>
        </w:tc>
        <w:tc>
          <w:tcPr>
            <w:tcW w:w="2384" w:type="dxa"/>
            <w:tcBorders>
              <w:top w:val="single" w:sz="4" w:space="0" w:color="auto"/>
              <w:left w:val="single" w:sz="4" w:space="0" w:color="auto"/>
              <w:bottom w:val="single" w:sz="4" w:space="0" w:color="auto"/>
              <w:right w:val="single" w:sz="4" w:space="0" w:color="auto"/>
            </w:tcBorders>
            <w:vAlign w:val="center"/>
          </w:tcPr>
          <w:p w14:paraId="708BA53B" w14:textId="77777777" w:rsidR="00742893" w:rsidRDefault="00742893" w:rsidP="000529ED">
            <w:pPr>
              <w:snapToGrid w:val="0"/>
              <w:rPr>
                <w:rFonts w:ascii="Arial" w:eastAsia="MS PGothic" w:hAnsi="Arial" w:cs="Arial"/>
                <w:color w:val="000000"/>
                <w:sz w:val="14"/>
                <w:szCs w:val="16"/>
                <w:lang w:eastAsia="ja-JP"/>
              </w:rPr>
            </w:pPr>
            <w:r>
              <w:rPr>
                <w:rFonts w:ascii="Arial" w:eastAsia="MS PGothic" w:hAnsi="Arial" w:cs="Arial"/>
                <w:color w:val="000000"/>
                <w:sz w:val="14"/>
                <w:szCs w:val="16"/>
              </w:rPr>
              <w:t>Remarks</w:t>
            </w:r>
          </w:p>
        </w:tc>
        <w:tc>
          <w:tcPr>
            <w:tcW w:w="1154" w:type="dxa"/>
            <w:tcBorders>
              <w:top w:val="single" w:sz="4" w:space="0" w:color="auto"/>
              <w:left w:val="single" w:sz="4" w:space="0" w:color="auto"/>
              <w:bottom w:val="single" w:sz="4" w:space="0" w:color="auto"/>
              <w:right w:val="single" w:sz="4" w:space="0" w:color="auto"/>
            </w:tcBorders>
            <w:vAlign w:val="center"/>
          </w:tcPr>
          <w:p w14:paraId="384EB30F" w14:textId="11AB0570" w:rsidR="00742893" w:rsidRDefault="00742893" w:rsidP="000529ED">
            <w:pPr>
              <w:snapToGrid w:val="0"/>
              <w:spacing w:after="0"/>
              <w:rPr>
                <w:rFonts w:ascii="Arial" w:eastAsia="MS PGothic" w:hAnsi="Arial" w:cs="Arial"/>
                <w:color w:val="000000"/>
                <w:sz w:val="14"/>
                <w:szCs w:val="16"/>
                <w:lang w:eastAsia="ja-JP"/>
              </w:rPr>
            </w:pPr>
            <w:r>
              <w:rPr>
                <w:rFonts w:ascii="Arial" w:eastAsia="MS PGothic" w:hAnsi="Arial" w:cs="Arial"/>
                <w:color w:val="000000"/>
                <w:sz w:val="14"/>
                <w:szCs w:val="16"/>
              </w:rPr>
              <w:t>TSG-RAN decision</w:t>
            </w:r>
          </w:p>
        </w:tc>
      </w:tr>
      <w:tr w:rsidR="00742893" w14:paraId="5D783B17" w14:textId="77777777" w:rsidTr="000529ED">
        <w:trPr>
          <w:trHeight w:val="622"/>
          <w:jc w:val="center"/>
        </w:trPr>
        <w:tc>
          <w:tcPr>
            <w:tcW w:w="221" w:type="dxa"/>
            <w:tcBorders>
              <w:top w:val="single" w:sz="4" w:space="0" w:color="auto"/>
              <w:left w:val="single" w:sz="4" w:space="0" w:color="auto"/>
              <w:bottom w:val="single" w:sz="4" w:space="0" w:color="auto"/>
              <w:right w:val="single" w:sz="4" w:space="0" w:color="auto"/>
            </w:tcBorders>
            <w:vAlign w:val="center"/>
            <w:hideMark/>
          </w:tcPr>
          <w:p w14:paraId="07392B38" w14:textId="77777777" w:rsidR="00742893" w:rsidRDefault="00742893" w:rsidP="000529ED">
            <w:pPr>
              <w:snapToGrid w:val="0"/>
              <w:spacing w:after="0"/>
              <w:rPr>
                <w:rFonts w:ascii="Arial" w:eastAsia="MS PGothic" w:hAnsi="Arial" w:cs="Arial"/>
                <w:color w:val="000000"/>
                <w:sz w:val="14"/>
                <w:szCs w:val="16"/>
                <w:lang w:eastAsia="ja-JP"/>
              </w:rPr>
            </w:pPr>
            <w:r>
              <w:rPr>
                <w:rFonts w:ascii="Arial" w:eastAsia="MS PGothic" w:hAnsi="Arial" w:cs="Arial"/>
                <w:color w:val="000000"/>
                <w:sz w:val="14"/>
                <w:szCs w:val="16"/>
              </w:rPr>
              <w:t>2-16</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3BAE47" w14:textId="77777777" w:rsidR="00742893" w:rsidRDefault="00742893" w:rsidP="000529ED">
            <w:pPr>
              <w:snapToGrid w:val="0"/>
              <w:spacing w:after="0"/>
              <w:rPr>
                <w:rFonts w:ascii="Arial" w:eastAsia="MS PGothic" w:hAnsi="Arial" w:cs="Arial"/>
                <w:color w:val="000000"/>
                <w:sz w:val="14"/>
                <w:szCs w:val="16"/>
                <w:lang w:eastAsia="ja-JP"/>
              </w:rPr>
            </w:pPr>
            <w:r>
              <w:rPr>
                <w:rFonts w:ascii="Arial" w:eastAsia="MS PGothic" w:hAnsi="Arial" w:cs="Arial"/>
                <w:color w:val="000000"/>
                <w:sz w:val="14"/>
                <w:szCs w:val="16"/>
                <w:lang w:eastAsia="ja-JP"/>
              </w:rPr>
              <w:t xml:space="preserve">Maximum uplink duty cycle </w:t>
            </w:r>
            <w:r>
              <w:rPr>
                <w:rFonts w:ascii="Arial" w:eastAsia="MS PGothic" w:hAnsi="Arial" w:cs="Arial"/>
                <w:color w:val="000000"/>
                <w:sz w:val="14"/>
                <w:szCs w:val="16"/>
              </w:rPr>
              <w:t>for FR2 power class 3 UE</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799B6B5" w14:textId="454445F3" w:rsidR="00742893" w:rsidRDefault="00742893" w:rsidP="000529ED">
            <w:pPr>
              <w:snapToGrid w:val="0"/>
              <w:spacing w:after="0"/>
              <w:rPr>
                <w:rFonts w:ascii="Arial" w:eastAsia="MS PGothic" w:hAnsi="Arial" w:cs="Arial"/>
                <w:color w:val="000000"/>
                <w:sz w:val="14"/>
                <w:szCs w:val="16"/>
              </w:rPr>
            </w:pPr>
            <w:r>
              <w:rPr>
                <w:rFonts w:ascii="Arial" w:eastAsia="MS PGothic" w:hAnsi="Arial" w:cs="Arial"/>
                <w:color w:val="000000"/>
                <w:sz w:val="14"/>
                <w:szCs w:val="16"/>
                <w:lang w:eastAsia="ja-JP"/>
              </w:rPr>
              <w:t xml:space="preserve">1) Maximum percentage of uplink transmission time that can be scheduled within 1s time window </w:t>
            </w:r>
            <w:proofErr w:type="gramStart"/>
            <w:r>
              <w:rPr>
                <w:rFonts w:ascii="Arial" w:eastAsia="MS PGothic" w:hAnsi="Arial" w:cs="Arial"/>
                <w:color w:val="000000"/>
                <w:sz w:val="14"/>
                <w:szCs w:val="16"/>
                <w:lang w:eastAsia="ja-JP"/>
              </w:rPr>
              <w:t>in order to</w:t>
            </w:r>
            <w:proofErr w:type="gramEnd"/>
            <w:r>
              <w:rPr>
                <w:rFonts w:ascii="Arial" w:eastAsia="MS PGothic" w:hAnsi="Arial" w:cs="Arial"/>
                <w:color w:val="000000"/>
                <w:sz w:val="14"/>
                <w:szCs w:val="16"/>
                <w:lang w:eastAsia="ja-JP"/>
              </w:rPr>
              <w:t xml:space="preserve"> ensure compliance with applicable electromagnetic energy absorption requirements provided by regulatory bodies. </w:t>
            </w:r>
            <w:r>
              <w:rPr>
                <w:rFonts w:ascii="Arial" w:eastAsia="MS PGothic" w:hAnsi="Arial" w:cs="Arial"/>
                <w:color w:val="000000"/>
                <w:sz w:val="14"/>
                <w:szCs w:val="16"/>
              </w:rPr>
              <w:t>The value range is {</w:t>
            </w:r>
            <w:r w:rsidRPr="00742893">
              <w:rPr>
                <w:rFonts w:ascii="Arial" w:eastAsia="MS PGothic" w:hAnsi="Arial" w:cs="Arial"/>
                <w:strike/>
                <w:color w:val="FF0000"/>
                <w:sz w:val="14"/>
                <w:szCs w:val="16"/>
              </w:rPr>
              <w:t>2%,</w:t>
            </w:r>
            <w:r w:rsidRPr="00742893">
              <w:rPr>
                <w:rFonts w:ascii="Arial" w:eastAsia="MS PGothic" w:hAnsi="Arial" w:cs="Arial"/>
                <w:color w:val="FF0000"/>
                <w:sz w:val="14"/>
                <w:szCs w:val="16"/>
              </w:rPr>
              <w:t xml:space="preserve"> </w:t>
            </w:r>
            <w:r>
              <w:rPr>
                <w:rFonts w:ascii="Arial" w:eastAsia="MS PGothic" w:hAnsi="Arial" w:cs="Arial"/>
                <w:color w:val="000000"/>
                <w:sz w:val="14"/>
                <w:szCs w:val="16"/>
              </w:rPr>
              <w:t xml:space="preserve">10% </w:t>
            </w:r>
            <w:r w:rsidRPr="00742893">
              <w:rPr>
                <w:rFonts w:ascii="Arial" w:eastAsia="MS PGothic" w:hAnsi="Arial" w:cs="Arial"/>
                <w:color w:val="FF0000"/>
                <w:sz w:val="14"/>
                <w:szCs w:val="16"/>
                <w:u w:val="single"/>
              </w:rPr>
              <w:t>(TBD)</w:t>
            </w:r>
            <w:r>
              <w:rPr>
                <w:rFonts w:ascii="Arial" w:eastAsia="MS PGothic" w:hAnsi="Arial" w:cs="Arial"/>
                <w:color w:val="000000"/>
                <w:sz w:val="14"/>
                <w:szCs w:val="16"/>
              </w:rPr>
              <w:t xml:space="preserve">, 20%, </w:t>
            </w:r>
            <w:r>
              <w:rPr>
                <w:rFonts w:ascii="Arial" w:eastAsia="MS PGothic" w:hAnsi="Arial" w:cs="Arial"/>
                <w:color w:val="FF0000"/>
                <w:sz w:val="14"/>
                <w:szCs w:val="16"/>
                <w:u w:val="single"/>
              </w:rPr>
              <w:t>25%,</w:t>
            </w:r>
            <w:r>
              <w:rPr>
                <w:rFonts w:ascii="Arial" w:eastAsia="MS PGothic" w:hAnsi="Arial" w:cs="Arial"/>
                <w:color w:val="000000"/>
                <w:sz w:val="14"/>
                <w:szCs w:val="16"/>
              </w:rPr>
              <w:t xml:space="preserve"> 30%, 40%, 50%, 60%, 70%, 80%, 90%, 100%}. </w:t>
            </w:r>
          </w:p>
        </w:tc>
        <w:tc>
          <w:tcPr>
            <w:tcW w:w="1320" w:type="dxa"/>
            <w:tcBorders>
              <w:top w:val="single" w:sz="4" w:space="0" w:color="auto"/>
              <w:left w:val="single" w:sz="4" w:space="0" w:color="auto"/>
              <w:bottom w:val="single" w:sz="4" w:space="0" w:color="auto"/>
              <w:right w:val="single" w:sz="4" w:space="0" w:color="auto"/>
            </w:tcBorders>
            <w:vAlign w:val="center"/>
            <w:hideMark/>
          </w:tcPr>
          <w:p w14:paraId="2F02FA39" w14:textId="77777777" w:rsidR="00742893" w:rsidRDefault="00742893" w:rsidP="000529ED">
            <w:pPr>
              <w:snapToGrid w:val="0"/>
              <w:spacing w:after="0"/>
              <w:rPr>
                <w:rFonts w:ascii="Arial" w:eastAsia="MS PGothic" w:hAnsi="Arial" w:cs="Arial"/>
                <w:color w:val="000000"/>
                <w:sz w:val="14"/>
                <w:szCs w:val="16"/>
                <w:lang w:eastAsia="ja-JP"/>
              </w:rPr>
            </w:pPr>
            <w:r>
              <w:rPr>
                <w:rFonts w:ascii="Arial" w:eastAsia="MS PGothic" w:hAnsi="Arial" w:cs="Arial"/>
                <w:color w:val="000000"/>
                <w:sz w:val="14"/>
                <w:szCs w:val="16"/>
                <w:lang w:eastAsia="ja-JP"/>
              </w:rPr>
              <w:t>UE relies on the power back off as in TS38.101-2 to ensure the regulatory compliance</w:t>
            </w:r>
          </w:p>
        </w:tc>
        <w:tc>
          <w:tcPr>
            <w:tcW w:w="1279" w:type="dxa"/>
            <w:tcBorders>
              <w:top w:val="single" w:sz="4" w:space="0" w:color="auto"/>
              <w:left w:val="single" w:sz="4" w:space="0" w:color="auto"/>
              <w:bottom w:val="single" w:sz="4" w:space="0" w:color="auto"/>
              <w:right w:val="single" w:sz="4" w:space="0" w:color="auto"/>
            </w:tcBorders>
            <w:noWrap/>
            <w:vAlign w:val="center"/>
            <w:hideMark/>
          </w:tcPr>
          <w:p w14:paraId="20462697" w14:textId="77777777" w:rsidR="00742893" w:rsidRDefault="00742893" w:rsidP="000529ED">
            <w:pPr>
              <w:snapToGrid w:val="0"/>
              <w:spacing w:after="0"/>
              <w:rPr>
                <w:rFonts w:ascii="Arial" w:eastAsia="MS PGothic" w:hAnsi="Arial" w:cs="Arial"/>
                <w:color w:val="000000"/>
                <w:sz w:val="14"/>
                <w:szCs w:val="16"/>
                <w:lang w:eastAsia="ja-JP"/>
              </w:rPr>
            </w:pPr>
            <w:r>
              <w:rPr>
                <w:rFonts w:ascii="Arial" w:eastAsia="MS PGothic" w:hAnsi="Arial" w:cs="Arial"/>
                <w:color w:val="000000"/>
                <w:sz w:val="14"/>
                <w:szCs w:val="16"/>
                <w:lang w:eastAsia="ja-JP"/>
              </w:rPr>
              <w:t xml:space="preserve">Applicable only to FR2 </w:t>
            </w:r>
          </w:p>
        </w:tc>
        <w:tc>
          <w:tcPr>
            <w:tcW w:w="2384" w:type="dxa"/>
            <w:tcBorders>
              <w:top w:val="single" w:sz="4" w:space="0" w:color="auto"/>
              <w:left w:val="single" w:sz="4" w:space="0" w:color="auto"/>
              <w:bottom w:val="single" w:sz="4" w:space="0" w:color="auto"/>
              <w:right w:val="single" w:sz="4" w:space="0" w:color="auto"/>
            </w:tcBorders>
            <w:vAlign w:val="center"/>
            <w:hideMark/>
          </w:tcPr>
          <w:p w14:paraId="3E432614" w14:textId="77777777" w:rsidR="00742893" w:rsidRDefault="00742893" w:rsidP="000529ED">
            <w:pPr>
              <w:snapToGrid w:val="0"/>
              <w:rPr>
                <w:rFonts w:ascii="Arial" w:eastAsia="MS PGothic" w:hAnsi="Arial" w:cs="Arial"/>
                <w:color w:val="000000"/>
                <w:sz w:val="14"/>
                <w:szCs w:val="16"/>
                <w:lang w:eastAsia="ja-JP"/>
              </w:rPr>
            </w:pPr>
            <w:r>
              <w:rPr>
                <w:rFonts w:ascii="Arial" w:eastAsia="MS PGothic" w:hAnsi="Arial" w:cs="Arial"/>
                <w:color w:val="000000"/>
                <w:sz w:val="14"/>
                <w:szCs w:val="16"/>
                <w:lang w:eastAsia="ja-JP"/>
              </w:rPr>
              <w:t>Per band capability.</w:t>
            </w:r>
          </w:p>
          <w:p w14:paraId="3118A216" w14:textId="77777777" w:rsidR="00742893" w:rsidRDefault="00742893" w:rsidP="000529ED">
            <w:pPr>
              <w:snapToGrid w:val="0"/>
              <w:rPr>
                <w:rFonts w:ascii="Arial" w:eastAsia="MS PGothic" w:hAnsi="Arial" w:cs="Arial"/>
                <w:color w:val="000000"/>
                <w:sz w:val="14"/>
                <w:szCs w:val="16"/>
                <w:lang w:eastAsia="ja-JP"/>
              </w:rPr>
            </w:pPr>
            <w:r>
              <w:rPr>
                <w:rFonts w:ascii="Arial" w:eastAsia="MS PGothic" w:hAnsi="Arial" w:cs="Arial"/>
                <w:color w:val="000000"/>
                <w:sz w:val="14"/>
                <w:szCs w:val="16"/>
              </w:rPr>
              <w:t xml:space="preserve">Default value is </w:t>
            </w:r>
            <w:r>
              <w:rPr>
                <w:rFonts w:ascii="Arial" w:eastAsia="MS PGothic" w:hAnsi="Arial" w:cs="Arial"/>
                <w:color w:val="000000"/>
                <w:sz w:val="14"/>
                <w:szCs w:val="16"/>
                <w:lang w:eastAsia="ja-JP"/>
              </w:rPr>
              <w:t>FFS</w:t>
            </w:r>
          </w:p>
          <w:p w14:paraId="73296493" w14:textId="6F3A84CA" w:rsidR="00742893" w:rsidRDefault="00742893" w:rsidP="000529ED">
            <w:pPr>
              <w:snapToGrid w:val="0"/>
              <w:spacing w:after="0"/>
              <w:rPr>
                <w:rFonts w:ascii="Arial" w:eastAsia="MS PGothic" w:hAnsi="Arial" w:cs="Arial"/>
                <w:color w:val="000000"/>
                <w:sz w:val="14"/>
                <w:szCs w:val="16"/>
                <w:lang w:eastAsia="ja-JP"/>
              </w:rPr>
            </w:pPr>
            <w:r>
              <w:rPr>
                <w:rFonts w:ascii="Arial" w:eastAsia="MS PGothic" w:hAnsi="Arial" w:cs="Arial"/>
                <w:color w:val="000000"/>
                <w:sz w:val="14"/>
                <w:szCs w:val="16"/>
                <w:lang w:eastAsia="ja-JP"/>
              </w:rPr>
              <w:t>For a FR2 UE when the percentage of uplink transmission time scheduled within a certain evaluation period is larger than its capability, UE could do power back off as in TS38.101-2.</w:t>
            </w:r>
          </w:p>
          <w:p w14:paraId="3305370A" w14:textId="77777777" w:rsidR="00742893" w:rsidRDefault="00742893" w:rsidP="000529ED">
            <w:pPr>
              <w:snapToGrid w:val="0"/>
              <w:spacing w:after="0"/>
              <w:rPr>
                <w:rFonts w:ascii="Arial" w:eastAsia="MS PGothic" w:hAnsi="Arial" w:cs="Arial"/>
                <w:color w:val="000000"/>
                <w:sz w:val="14"/>
                <w:szCs w:val="16"/>
                <w:lang w:eastAsia="ja-JP"/>
              </w:rPr>
            </w:pPr>
          </w:p>
          <w:p w14:paraId="190EF126" w14:textId="2606D588" w:rsidR="00742893" w:rsidRPr="00742893" w:rsidRDefault="00742893" w:rsidP="000529ED">
            <w:pPr>
              <w:snapToGrid w:val="0"/>
              <w:spacing w:after="0"/>
              <w:rPr>
                <w:rFonts w:ascii="Arial" w:eastAsia="MS PGothic" w:hAnsi="Arial" w:cs="Arial"/>
                <w:color w:val="000000"/>
                <w:sz w:val="14"/>
                <w:szCs w:val="16"/>
                <w:u w:val="single"/>
                <w:lang w:eastAsia="ja-JP"/>
              </w:rPr>
            </w:pPr>
            <w:bookmarkStart w:id="5" w:name="_Hlk4749436"/>
            <w:r w:rsidRPr="00742893">
              <w:rPr>
                <w:rFonts w:ascii="Arial" w:eastAsia="MS PGothic" w:hAnsi="Arial" w:cs="Arial"/>
                <w:color w:val="FF0000"/>
                <w:sz w:val="14"/>
                <w:szCs w:val="16"/>
                <w:u w:val="single"/>
                <w:lang w:eastAsia="ja-JP"/>
              </w:rPr>
              <w:t>Note: RAN4 is asked whether any value &lt;=10% should be added.</w:t>
            </w:r>
            <w:bookmarkEnd w:id="5"/>
          </w:p>
        </w:tc>
        <w:tc>
          <w:tcPr>
            <w:tcW w:w="1154" w:type="dxa"/>
            <w:tcBorders>
              <w:top w:val="single" w:sz="4" w:space="0" w:color="auto"/>
              <w:left w:val="single" w:sz="4" w:space="0" w:color="auto"/>
              <w:bottom w:val="single" w:sz="4" w:space="0" w:color="auto"/>
              <w:right w:val="single" w:sz="4" w:space="0" w:color="auto"/>
            </w:tcBorders>
            <w:vAlign w:val="center"/>
          </w:tcPr>
          <w:p w14:paraId="6D45F965" w14:textId="77777777" w:rsidR="00742893" w:rsidRPr="00742893" w:rsidRDefault="00742893" w:rsidP="000529ED">
            <w:pPr>
              <w:snapToGrid w:val="0"/>
              <w:spacing w:after="0"/>
              <w:rPr>
                <w:rFonts w:ascii="Arial" w:eastAsia="MS PGothic" w:hAnsi="Arial" w:cs="Arial"/>
                <w:color w:val="FF0000"/>
                <w:sz w:val="14"/>
                <w:szCs w:val="16"/>
                <w:u w:val="single"/>
                <w:lang w:eastAsia="ja-JP"/>
              </w:rPr>
            </w:pPr>
            <w:r w:rsidRPr="00742893">
              <w:rPr>
                <w:rFonts w:ascii="Arial" w:eastAsia="MS PGothic" w:hAnsi="Arial" w:cs="Arial"/>
                <w:color w:val="FF0000"/>
                <w:sz w:val="14"/>
                <w:szCs w:val="16"/>
                <w:u w:val="single"/>
                <w:lang w:eastAsia="ja-JP"/>
              </w:rPr>
              <w:t>Mandatory to report non-default uplink duty cycle if UE supports</w:t>
            </w:r>
          </w:p>
          <w:p w14:paraId="307D998B" w14:textId="77777777" w:rsidR="00742893" w:rsidRDefault="00742893" w:rsidP="000529ED">
            <w:pPr>
              <w:snapToGrid w:val="0"/>
              <w:spacing w:after="0"/>
              <w:rPr>
                <w:rFonts w:ascii="Arial" w:eastAsia="MS PGothic" w:hAnsi="Arial" w:cs="Arial"/>
                <w:color w:val="000000"/>
                <w:sz w:val="14"/>
                <w:szCs w:val="16"/>
              </w:rPr>
            </w:pPr>
          </w:p>
        </w:tc>
      </w:tr>
    </w:tbl>
    <w:p w14:paraId="4D1918BE" w14:textId="6A1D45A2" w:rsidR="00742893" w:rsidRDefault="00742893" w:rsidP="00882D99">
      <w:pPr>
        <w:spacing w:after="120"/>
        <w:jc w:val="both"/>
        <w:rPr>
          <w:rFonts w:ascii="Times New Roman" w:hAnsi="Times New Roman" w:cs="Times New Roman"/>
          <w:sz w:val="20"/>
          <w:szCs w:val="20"/>
          <w:lang w:eastAsia="fi-FI"/>
        </w:rPr>
      </w:pPr>
    </w:p>
    <w:p w14:paraId="0005513D" w14:textId="77777777" w:rsidR="00742893" w:rsidRDefault="00742893" w:rsidP="00882D99">
      <w:pPr>
        <w:spacing w:after="120"/>
        <w:jc w:val="both"/>
        <w:rPr>
          <w:rFonts w:ascii="Times New Roman" w:hAnsi="Times New Roman" w:cs="Times New Roman"/>
          <w:sz w:val="20"/>
          <w:szCs w:val="20"/>
          <w:lang w:eastAsia="fi-FI"/>
        </w:rPr>
      </w:pPr>
    </w:p>
    <w:p w14:paraId="51D31C51" w14:textId="1759B9C3" w:rsidR="004A6018" w:rsidRDefault="0048283A" w:rsidP="00882D99">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Related to the above, RAN4 liaised RAN1 under a Rel-16 MIMO enhancements WI with the following [</w:t>
      </w:r>
      <w:r w:rsidR="00742893">
        <w:rPr>
          <w:rFonts w:ascii="Times New Roman" w:hAnsi="Times New Roman" w:cs="Times New Roman"/>
          <w:sz w:val="20"/>
          <w:szCs w:val="20"/>
          <w:lang w:eastAsia="fi-FI"/>
        </w:rPr>
        <w:t>4</w:t>
      </w:r>
      <w:r>
        <w:rPr>
          <w:rFonts w:ascii="Times New Roman" w:hAnsi="Times New Roman" w:cs="Times New Roman"/>
          <w:sz w:val="20"/>
          <w:szCs w:val="20"/>
          <w:lang w:eastAsia="fi-FI"/>
        </w:rPr>
        <w:t>]:</w:t>
      </w:r>
    </w:p>
    <w:tbl>
      <w:tblPr>
        <w:tblStyle w:val="TableGrid"/>
        <w:tblW w:w="0" w:type="auto"/>
        <w:tblInd w:w="455" w:type="dxa"/>
        <w:tblLook w:val="04A0" w:firstRow="1" w:lastRow="0" w:firstColumn="1" w:lastColumn="0" w:noHBand="0" w:noVBand="1"/>
      </w:tblPr>
      <w:tblGrid>
        <w:gridCol w:w="8642"/>
      </w:tblGrid>
      <w:tr w:rsidR="0048283A" w14:paraId="54A39C48" w14:textId="77777777" w:rsidTr="0048283A">
        <w:tc>
          <w:tcPr>
            <w:tcW w:w="8642" w:type="dxa"/>
          </w:tcPr>
          <w:p w14:paraId="3E9E294F" w14:textId="56926967" w:rsidR="0048283A" w:rsidRDefault="0048283A" w:rsidP="00882D99">
            <w:pPr>
              <w:spacing w:after="120"/>
              <w:jc w:val="both"/>
              <w:rPr>
                <w:rFonts w:ascii="Times New Roman" w:hAnsi="Times New Roman" w:cs="Times New Roman"/>
                <w:sz w:val="20"/>
                <w:szCs w:val="20"/>
                <w:lang w:eastAsia="fi-FI"/>
              </w:rPr>
            </w:pPr>
            <w:r w:rsidRPr="0048283A">
              <w:rPr>
                <w:rFonts w:ascii="Times New Roman" w:hAnsi="Times New Roman" w:cs="Times New Roman"/>
                <w:sz w:val="20"/>
                <w:szCs w:val="20"/>
                <w:lang w:eastAsia="fi-FI"/>
              </w:rPr>
              <w:t xml:space="preserve">RAN4 has discussed FR2 RF Exposure issues and would like to share the situation in RAN4. Two methods were introduced during Rel-15 in the specification to enable the UE to comply with regulatory exposure limits, one is P-MPR, the other is </w:t>
            </w:r>
            <w:proofErr w:type="spellStart"/>
            <w:r w:rsidRPr="0048283A">
              <w:rPr>
                <w:rFonts w:ascii="Times New Roman" w:hAnsi="Times New Roman" w:cs="Times New Roman"/>
                <w:i/>
                <w:sz w:val="20"/>
                <w:szCs w:val="20"/>
                <w:lang w:eastAsia="fi-FI"/>
              </w:rPr>
              <w:t>maxUplinkDutyCycle</w:t>
            </w:r>
            <w:proofErr w:type="spellEnd"/>
            <w:r w:rsidRPr="0048283A">
              <w:rPr>
                <w:rFonts w:ascii="Times New Roman" w:hAnsi="Times New Roman" w:cs="Times New Roman"/>
                <w:sz w:val="20"/>
                <w:szCs w:val="20"/>
                <w:lang w:eastAsia="fi-FI"/>
              </w:rPr>
              <w:t xml:space="preserve"> capability. For some UE implementation, the needed back off to comply with RF exposure regulation could be large.</w:t>
            </w:r>
          </w:p>
        </w:tc>
      </w:tr>
    </w:tbl>
    <w:p w14:paraId="07FD6B66" w14:textId="002B15C9" w:rsidR="0048283A" w:rsidRDefault="0048283A" w:rsidP="00882D99">
      <w:pPr>
        <w:spacing w:after="120"/>
        <w:jc w:val="both"/>
        <w:rPr>
          <w:rFonts w:ascii="Times New Roman" w:hAnsi="Times New Roman" w:cs="Times New Roman"/>
          <w:sz w:val="20"/>
          <w:szCs w:val="20"/>
          <w:lang w:eastAsia="fi-FI"/>
        </w:rPr>
      </w:pPr>
    </w:p>
    <w:p w14:paraId="0FEF7E70" w14:textId="2A6FE41D" w:rsidR="0048283A" w:rsidRDefault="0048283A" w:rsidP="00882D99">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As the development is recent, RAN2 is yet to introduce the new capability or conduct the backwards compatibility evaluation.</w:t>
      </w:r>
    </w:p>
    <w:p w14:paraId="31058DF7" w14:textId="384668B1" w:rsidR="0048283A" w:rsidRPr="00EA23A7" w:rsidRDefault="0048283A" w:rsidP="0048283A">
      <w:pPr>
        <w:pStyle w:val="Heading1"/>
        <w:ind w:hanging="858"/>
      </w:pPr>
      <w:r>
        <w:t>Discussion</w:t>
      </w:r>
    </w:p>
    <w:p w14:paraId="3D23FD65" w14:textId="6E1A8DC2" w:rsidR="0048283A" w:rsidRPr="00A91422" w:rsidRDefault="0048283A" w:rsidP="0048283A">
      <w:pPr>
        <w:spacing w:after="120"/>
        <w:jc w:val="both"/>
        <w:rPr>
          <w:rFonts w:ascii="Times New Roman" w:hAnsi="Times New Roman" w:cs="Times New Roman"/>
          <w:sz w:val="20"/>
          <w:szCs w:val="20"/>
          <w:lang w:val="en-GB" w:eastAsia="fi-FI"/>
        </w:rPr>
      </w:pPr>
      <w:r w:rsidRPr="00A91422">
        <w:rPr>
          <w:rFonts w:ascii="Times New Roman" w:hAnsi="Times New Roman" w:cs="Times New Roman"/>
          <w:sz w:val="20"/>
          <w:szCs w:val="20"/>
          <w:lang w:val="en-GB" w:eastAsia="fi-FI"/>
        </w:rPr>
        <w:t xml:space="preserve">The </w:t>
      </w:r>
      <w:r w:rsidR="00A91422" w:rsidRPr="00A91422">
        <w:rPr>
          <w:rFonts w:ascii="Times New Roman" w:hAnsi="Times New Roman" w:cs="Times New Roman"/>
          <w:sz w:val="20"/>
          <w:szCs w:val="20"/>
          <w:lang w:val="en-GB" w:eastAsia="fi-FI"/>
        </w:rPr>
        <w:t xml:space="preserve">new </w:t>
      </w:r>
      <w:proofErr w:type="spellStart"/>
      <w:r w:rsidR="00A91422" w:rsidRPr="00A91422">
        <w:rPr>
          <w:rFonts w:ascii="Times New Roman" w:hAnsi="Times New Roman" w:cs="Times New Roman"/>
          <w:i/>
          <w:sz w:val="20"/>
          <w:szCs w:val="20"/>
          <w:lang w:val="en-GB" w:eastAsia="fi-FI"/>
        </w:rPr>
        <w:t>maxUplinkDutyCycle</w:t>
      </w:r>
      <w:proofErr w:type="spellEnd"/>
      <w:r w:rsidR="00A91422" w:rsidRPr="00A91422">
        <w:rPr>
          <w:rFonts w:ascii="Times New Roman" w:hAnsi="Times New Roman" w:cs="Times New Roman"/>
          <w:sz w:val="20"/>
          <w:szCs w:val="20"/>
          <w:lang w:val="en-GB" w:eastAsia="fi-FI"/>
        </w:rPr>
        <w:t xml:space="preserve"> capabi</w:t>
      </w:r>
      <w:r w:rsidR="00A91422">
        <w:rPr>
          <w:rFonts w:ascii="Times New Roman" w:hAnsi="Times New Roman" w:cs="Times New Roman"/>
          <w:sz w:val="20"/>
          <w:szCs w:val="20"/>
          <w:lang w:val="en-GB" w:eastAsia="fi-FI"/>
        </w:rPr>
        <w:t>lity is both insufficient and problematic.</w:t>
      </w:r>
    </w:p>
    <w:p w14:paraId="4E930EBA" w14:textId="18DE9AC2" w:rsidR="006E61D1" w:rsidRDefault="00A91422" w:rsidP="00882D9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The current RAN4 request for the new capability signalling is an attempt to define functionality through capability, while falling short of determining what the UE, and respectively the network behaviour is expected to be. If the UE capability allows </w:t>
      </w:r>
      <w:r w:rsidR="002C2D0A">
        <w:rPr>
          <w:rFonts w:ascii="Times New Roman" w:hAnsi="Times New Roman" w:cs="Times New Roman"/>
          <w:sz w:val="20"/>
          <w:szCs w:val="20"/>
          <w:lang w:val="en-GB" w:eastAsia="fi-FI"/>
        </w:rPr>
        <w:t xml:space="preserve">for a larger </w:t>
      </w:r>
      <w:r>
        <w:rPr>
          <w:rFonts w:ascii="Times New Roman" w:hAnsi="Times New Roman" w:cs="Times New Roman"/>
          <w:sz w:val="20"/>
          <w:szCs w:val="20"/>
          <w:lang w:val="en-GB" w:eastAsia="fi-FI"/>
        </w:rPr>
        <w:t xml:space="preserve">UL duty cycle </w:t>
      </w:r>
      <w:r w:rsidR="002C2D0A">
        <w:rPr>
          <w:rFonts w:ascii="Times New Roman" w:hAnsi="Times New Roman" w:cs="Times New Roman"/>
          <w:sz w:val="20"/>
          <w:szCs w:val="20"/>
          <w:lang w:val="en-GB" w:eastAsia="fi-FI"/>
        </w:rPr>
        <w:t xml:space="preserve">than is </w:t>
      </w:r>
      <w:r>
        <w:rPr>
          <w:rFonts w:ascii="Times New Roman" w:hAnsi="Times New Roman" w:cs="Times New Roman"/>
          <w:sz w:val="20"/>
          <w:szCs w:val="20"/>
          <w:lang w:val="en-GB" w:eastAsia="fi-FI"/>
        </w:rPr>
        <w:t xml:space="preserve">used for a TDD </w:t>
      </w:r>
      <w:r w:rsidR="00EC59AF">
        <w:rPr>
          <w:rFonts w:ascii="Times New Roman" w:hAnsi="Times New Roman" w:cs="Times New Roman"/>
          <w:sz w:val="20"/>
          <w:szCs w:val="20"/>
          <w:lang w:val="en-GB" w:eastAsia="fi-FI"/>
        </w:rPr>
        <w:t>pattern</w:t>
      </w:r>
      <w:r>
        <w:rPr>
          <w:rFonts w:ascii="Times New Roman" w:hAnsi="Times New Roman" w:cs="Times New Roman"/>
          <w:sz w:val="20"/>
          <w:szCs w:val="20"/>
          <w:lang w:val="en-GB" w:eastAsia="fi-FI"/>
        </w:rPr>
        <w:t xml:space="preserve"> </w:t>
      </w:r>
      <w:r w:rsidR="002C2D0A">
        <w:rPr>
          <w:rFonts w:ascii="Times New Roman" w:hAnsi="Times New Roman" w:cs="Times New Roman"/>
          <w:sz w:val="20"/>
          <w:szCs w:val="20"/>
          <w:lang w:val="en-GB" w:eastAsia="fi-FI"/>
        </w:rPr>
        <w:t xml:space="preserve">used by the network, </w:t>
      </w:r>
      <w:r>
        <w:rPr>
          <w:rFonts w:ascii="Times New Roman" w:hAnsi="Times New Roman" w:cs="Times New Roman"/>
          <w:sz w:val="20"/>
          <w:szCs w:val="20"/>
          <w:lang w:val="en-GB" w:eastAsia="fi-FI"/>
        </w:rPr>
        <w:t>issues do not arise as the network would never schedule more UL than the UE is capable of. However, if the UE is not capable of the TDD pattern</w:t>
      </w:r>
      <w:r w:rsidR="002C2D0A">
        <w:rPr>
          <w:rFonts w:ascii="Times New Roman" w:hAnsi="Times New Roman" w:cs="Times New Roman"/>
          <w:sz w:val="20"/>
          <w:szCs w:val="20"/>
          <w:lang w:val="en-GB" w:eastAsia="fi-FI"/>
        </w:rPr>
        <w:t>’s UL</w:t>
      </w:r>
      <w:r>
        <w:rPr>
          <w:rFonts w:ascii="Times New Roman" w:hAnsi="Times New Roman" w:cs="Times New Roman"/>
          <w:sz w:val="20"/>
          <w:szCs w:val="20"/>
          <w:lang w:val="en-GB" w:eastAsia="fi-FI"/>
        </w:rPr>
        <w:t xml:space="preserve"> duty cycle, it is both unclear what the behaviour is expected to be, and </w:t>
      </w:r>
      <w:r w:rsidR="005D0CD9">
        <w:rPr>
          <w:rFonts w:ascii="Times New Roman" w:hAnsi="Times New Roman" w:cs="Times New Roman"/>
          <w:sz w:val="20"/>
          <w:szCs w:val="20"/>
          <w:lang w:val="en-GB" w:eastAsia="fi-FI"/>
        </w:rPr>
        <w:t xml:space="preserve">even if it were, it would be </w:t>
      </w:r>
      <w:r>
        <w:rPr>
          <w:rFonts w:ascii="Times New Roman" w:hAnsi="Times New Roman" w:cs="Times New Roman"/>
          <w:sz w:val="20"/>
          <w:szCs w:val="20"/>
          <w:lang w:val="en-GB" w:eastAsia="fi-FI"/>
        </w:rPr>
        <w:t>insufficient to try and specify the</w:t>
      </w:r>
      <w:r w:rsidR="005D0CD9">
        <w:rPr>
          <w:rFonts w:ascii="Times New Roman" w:hAnsi="Times New Roman" w:cs="Times New Roman"/>
          <w:sz w:val="20"/>
          <w:szCs w:val="20"/>
          <w:lang w:val="en-GB" w:eastAsia="fi-FI"/>
        </w:rPr>
        <w:t xml:space="preserve"> behaviour through </w:t>
      </w:r>
      <w:r>
        <w:rPr>
          <w:rFonts w:ascii="Times New Roman" w:hAnsi="Times New Roman" w:cs="Times New Roman"/>
          <w:sz w:val="20"/>
          <w:szCs w:val="20"/>
          <w:lang w:val="en-GB" w:eastAsia="fi-FI"/>
        </w:rPr>
        <w:t>UE capabilit</w:t>
      </w:r>
      <w:r w:rsidR="005D0CD9">
        <w:rPr>
          <w:rFonts w:ascii="Times New Roman" w:hAnsi="Times New Roman" w:cs="Times New Roman"/>
          <w:sz w:val="20"/>
          <w:szCs w:val="20"/>
          <w:lang w:val="en-GB" w:eastAsia="fi-FI"/>
        </w:rPr>
        <w:t>ies rather than providing a functional</w:t>
      </w:r>
      <w:r>
        <w:rPr>
          <w:rFonts w:ascii="Times New Roman" w:hAnsi="Times New Roman" w:cs="Times New Roman"/>
          <w:sz w:val="20"/>
          <w:szCs w:val="20"/>
          <w:lang w:val="en-GB" w:eastAsia="fi-FI"/>
        </w:rPr>
        <w:t xml:space="preserve"> specification.</w:t>
      </w:r>
    </w:p>
    <w:p w14:paraId="7F9286F7" w14:textId="5E2E8535" w:rsidR="005D0CD9" w:rsidRDefault="00971B0B" w:rsidP="00882D9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The </w:t>
      </w:r>
      <w:r w:rsidR="002C2D0A">
        <w:rPr>
          <w:rFonts w:ascii="Times New Roman" w:hAnsi="Times New Roman" w:cs="Times New Roman"/>
          <w:sz w:val="20"/>
          <w:szCs w:val="20"/>
          <w:lang w:val="en-GB" w:eastAsia="fi-FI"/>
        </w:rPr>
        <w:t xml:space="preserve">RAN4-proposed </w:t>
      </w:r>
      <w:r>
        <w:rPr>
          <w:rFonts w:ascii="Times New Roman" w:hAnsi="Times New Roman" w:cs="Times New Roman"/>
          <w:sz w:val="20"/>
          <w:szCs w:val="20"/>
          <w:lang w:val="en-GB" w:eastAsia="fi-FI"/>
        </w:rPr>
        <w:t>definition</w:t>
      </w:r>
      <w:r w:rsidR="008F4834">
        <w:rPr>
          <w:rFonts w:ascii="Times New Roman" w:hAnsi="Times New Roman" w:cs="Times New Roman"/>
          <w:sz w:val="20"/>
          <w:szCs w:val="20"/>
          <w:lang w:val="en-GB" w:eastAsia="fi-FI"/>
        </w:rPr>
        <w:t xml:space="preserve"> </w:t>
      </w:r>
      <w:r w:rsidR="00A862A9">
        <w:rPr>
          <w:rFonts w:ascii="Times New Roman" w:hAnsi="Times New Roman" w:cs="Times New Roman"/>
          <w:sz w:val="20"/>
          <w:szCs w:val="20"/>
          <w:lang w:val="en-GB" w:eastAsia="fi-FI"/>
        </w:rPr>
        <w:t>does not define</w:t>
      </w:r>
      <w:r w:rsidR="002C2D0A">
        <w:rPr>
          <w:rFonts w:ascii="Times New Roman" w:hAnsi="Times New Roman" w:cs="Times New Roman"/>
          <w:sz w:val="20"/>
          <w:szCs w:val="20"/>
          <w:lang w:val="en-GB" w:eastAsia="fi-FI"/>
        </w:rPr>
        <w:t xml:space="preserve"> the time-location of</w:t>
      </w:r>
      <w:r w:rsidR="00A862A9">
        <w:rPr>
          <w:rFonts w:ascii="Times New Roman" w:hAnsi="Times New Roman" w:cs="Times New Roman"/>
          <w:sz w:val="20"/>
          <w:szCs w:val="20"/>
          <w:lang w:val="en-GB" w:eastAsia="fi-FI"/>
        </w:rPr>
        <w:t xml:space="preserve"> the </w:t>
      </w:r>
      <w:r w:rsidR="002C2D0A">
        <w:rPr>
          <w:rFonts w:ascii="Times New Roman" w:hAnsi="Times New Roman" w:cs="Times New Roman"/>
          <w:sz w:val="20"/>
          <w:szCs w:val="20"/>
          <w:lang w:val="en-GB" w:eastAsia="fi-FI"/>
        </w:rPr>
        <w:t>“</w:t>
      </w:r>
      <w:r w:rsidR="00A862A9">
        <w:rPr>
          <w:rFonts w:ascii="Times New Roman" w:hAnsi="Times New Roman" w:cs="Times New Roman"/>
          <w:sz w:val="20"/>
          <w:szCs w:val="20"/>
          <w:lang w:val="en-GB" w:eastAsia="fi-FI"/>
        </w:rPr>
        <w:t>1s time window</w:t>
      </w:r>
      <w:r w:rsidR="002C2D0A">
        <w:rPr>
          <w:rFonts w:ascii="Times New Roman" w:hAnsi="Times New Roman" w:cs="Times New Roman"/>
          <w:sz w:val="20"/>
          <w:szCs w:val="20"/>
          <w:lang w:val="en-GB" w:eastAsia="fi-FI"/>
        </w:rPr>
        <w:t>”</w:t>
      </w:r>
      <w:r w:rsidR="00A862A9">
        <w:rPr>
          <w:rFonts w:ascii="Times New Roman" w:hAnsi="Times New Roman" w:cs="Times New Roman"/>
          <w:sz w:val="20"/>
          <w:szCs w:val="20"/>
          <w:lang w:val="en-GB" w:eastAsia="fi-FI"/>
        </w:rPr>
        <w:t>, so it is not possible for the scheduler to know when to stop scheduling the uplink, and when it can start again</w:t>
      </w:r>
      <w:r w:rsidR="002C2D0A">
        <w:rPr>
          <w:rFonts w:ascii="Times New Roman" w:hAnsi="Times New Roman" w:cs="Times New Roman"/>
          <w:sz w:val="20"/>
          <w:szCs w:val="20"/>
          <w:lang w:val="en-GB" w:eastAsia="fi-FI"/>
        </w:rPr>
        <w:t xml:space="preserve"> and can expect the UE to react to scheduling</w:t>
      </w:r>
      <w:r w:rsidR="00A862A9">
        <w:rPr>
          <w:rFonts w:ascii="Times New Roman" w:hAnsi="Times New Roman" w:cs="Times New Roman"/>
          <w:sz w:val="20"/>
          <w:szCs w:val="20"/>
          <w:lang w:val="en-GB" w:eastAsia="fi-FI"/>
        </w:rPr>
        <w:t>.</w:t>
      </w:r>
      <w:r w:rsidR="002C2D0A">
        <w:rPr>
          <w:rFonts w:ascii="Times New Roman" w:hAnsi="Times New Roman" w:cs="Times New Roman"/>
          <w:sz w:val="20"/>
          <w:szCs w:val="20"/>
          <w:lang w:val="en-GB" w:eastAsia="fi-FI"/>
        </w:rPr>
        <w:t xml:space="preserve"> It also fails to define what the UE does if it is scheduled to transmit more uplink within the observation window than it is capability indicates. What’s even more troublesome is that the UE’s uplink feedback (HARQ-ACK, CSI, SRS) may well keep every UL opportunity occupied even if there is no data scheduled in the uplink – this is not clear.</w:t>
      </w:r>
    </w:p>
    <w:p w14:paraId="7830D09A" w14:textId="77777777" w:rsidR="00971B0B" w:rsidRPr="00CD0C89" w:rsidRDefault="00971B0B" w:rsidP="00971B0B">
      <w:pPr>
        <w:pStyle w:val="ListParagraph"/>
        <w:numPr>
          <w:ilvl w:val="0"/>
          <w:numId w:val="53"/>
        </w:numPr>
        <w:spacing w:after="120"/>
        <w:jc w:val="both"/>
        <w:rPr>
          <w:rFonts w:ascii="Times New Roman" w:hAnsi="Times New Roman" w:cs="Times New Roman"/>
          <w:color w:val="4472C4" w:themeColor="accent1"/>
          <w:sz w:val="20"/>
          <w:szCs w:val="20"/>
          <w:lang w:eastAsia="fi-FI"/>
        </w:rPr>
      </w:pPr>
      <w:r w:rsidRPr="00CD0C89">
        <w:rPr>
          <w:rFonts w:ascii="Times New Roman" w:hAnsi="Times New Roman" w:cs="Times New Roman"/>
          <w:color w:val="4472C4" w:themeColor="accent1"/>
          <w:sz w:val="20"/>
          <w:szCs w:val="20"/>
          <w:lang w:eastAsia="fi-FI"/>
        </w:rPr>
        <w:t xml:space="preserve">Maximum percentage of uplink transmission time that can be scheduled within 1s time window </w:t>
      </w:r>
      <w:proofErr w:type="gramStart"/>
      <w:r w:rsidRPr="00CD0C89">
        <w:rPr>
          <w:rFonts w:ascii="Times New Roman" w:hAnsi="Times New Roman" w:cs="Times New Roman"/>
          <w:color w:val="4472C4" w:themeColor="accent1"/>
          <w:sz w:val="20"/>
          <w:szCs w:val="20"/>
          <w:lang w:eastAsia="fi-FI"/>
        </w:rPr>
        <w:t>in order to</w:t>
      </w:r>
      <w:proofErr w:type="gramEnd"/>
      <w:r w:rsidRPr="00CD0C89">
        <w:rPr>
          <w:rFonts w:ascii="Times New Roman" w:hAnsi="Times New Roman" w:cs="Times New Roman"/>
          <w:color w:val="4472C4" w:themeColor="accent1"/>
          <w:sz w:val="20"/>
          <w:szCs w:val="20"/>
          <w:lang w:eastAsia="fi-FI"/>
        </w:rPr>
        <w:t xml:space="preserve"> ensure compliance with applicable electromagnetic energy absorption requirements provided by regulatory bodies. </w:t>
      </w:r>
    </w:p>
    <w:p w14:paraId="0E5F452C" w14:textId="2A86867B" w:rsidR="00971B0B" w:rsidRPr="00CD0C89" w:rsidRDefault="00971B0B" w:rsidP="00971B0B">
      <w:pPr>
        <w:pStyle w:val="ListParagraph"/>
        <w:numPr>
          <w:ilvl w:val="1"/>
          <w:numId w:val="53"/>
        </w:numPr>
        <w:spacing w:after="120"/>
        <w:jc w:val="both"/>
        <w:rPr>
          <w:rFonts w:ascii="Times New Roman" w:hAnsi="Times New Roman" w:cs="Times New Roman"/>
          <w:color w:val="4472C4" w:themeColor="accent1"/>
          <w:sz w:val="20"/>
          <w:szCs w:val="20"/>
          <w:lang w:eastAsia="fi-FI"/>
        </w:rPr>
      </w:pPr>
      <w:r w:rsidRPr="00CD0C89">
        <w:rPr>
          <w:rFonts w:ascii="Times New Roman" w:hAnsi="Times New Roman" w:cs="Times New Roman"/>
          <w:color w:val="4472C4" w:themeColor="accent1"/>
          <w:sz w:val="20"/>
          <w:szCs w:val="20"/>
          <w:lang w:eastAsia="fi-FI"/>
        </w:rPr>
        <w:t>The value range is {10% (TBD), 20%, 25%, 30%, 40%, 50%, 60%, 70%, 80%, 90%, 100%}</w:t>
      </w:r>
    </w:p>
    <w:p w14:paraId="0E24C231" w14:textId="19CFB7E6" w:rsidR="00EC59AF" w:rsidRPr="00CD0C89" w:rsidRDefault="00EC59AF" w:rsidP="00971B0B">
      <w:pPr>
        <w:pStyle w:val="ListParagraph"/>
        <w:numPr>
          <w:ilvl w:val="1"/>
          <w:numId w:val="53"/>
        </w:numPr>
        <w:spacing w:after="120"/>
        <w:jc w:val="both"/>
        <w:rPr>
          <w:rFonts w:ascii="Times New Roman" w:hAnsi="Times New Roman" w:cs="Times New Roman"/>
          <w:color w:val="4472C4" w:themeColor="accent1"/>
          <w:sz w:val="20"/>
          <w:szCs w:val="20"/>
          <w:lang w:eastAsia="fi-FI"/>
        </w:rPr>
      </w:pPr>
      <w:r w:rsidRPr="00CD0C89">
        <w:rPr>
          <w:rFonts w:ascii="Times New Roman" w:hAnsi="Times New Roman" w:cs="Times New Roman"/>
          <w:color w:val="4472C4" w:themeColor="accent1"/>
          <w:sz w:val="20"/>
          <w:szCs w:val="20"/>
          <w:lang w:eastAsia="fi-FI"/>
        </w:rPr>
        <w:t>Note: RAN4 is asked whether any value &lt;=10% should be added.</w:t>
      </w:r>
    </w:p>
    <w:p w14:paraId="05E1DD80" w14:textId="47F7F2A7" w:rsidR="00971B0B" w:rsidRPr="00CD0C89" w:rsidRDefault="00971B0B" w:rsidP="00971B0B">
      <w:pPr>
        <w:pStyle w:val="ListParagraph"/>
        <w:numPr>
          <w:ilvl w:val="1"/>
          <w:numId w:val="53"/>
        </w:numPr>
        <w:spacing w:after="120"/>
        <w:jc w:val="both"/>
        <w:rPr>
          <w:rFonts w:ascii="Times New Roman" w:hAnsi="Times New Roman" w:cs="Times New Roman"/>
          <w:color w:val="4472C4" w:themeColor="accent1"/>
          <w:sz w:val="20"/>
          <w:szCs w:val="20"/>
          <w:lang w:eastAsia="fi-FI"/>
        </w:rPr>
      </w:pPr>
      <w:r w:rsidRPr="00CD0C89">
        <w:rPr>
          <w:rFonts w:ascii="Times New Roman" w:hAnsi="Times New Roman" w:cs="Times New Roman"/>
          <w:color w:val="4472C4" w:themeColor="accent1"/>
          <w:sz w:val="20"/>
          <w:szCs w:val="20"/>
          <w:lang w:eastAsia="fi-FI"/>
        </w:rPr>
        <w:t>When the percentage of uplink transmission time scheduled within a certain evaluation period is larger than its capability, UE could do power back off as in TS38.101-2</w:t>
      </w:r>
    </w:p>
    <w:p w14:paraId="13D617C1" w14:textId="20B5B944" w:rsidR="00971B0B" w:rsidRDefault="00A862A9" w:rsidP="00971B0B">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Hence the definition is insufficient a</w:t>
      </w:r>
      <w:r w:rsidR="002C2D0A">
        <w:rPr>
          <w:rFonts w:ascii="Times New Roman" w:hAnsi="Times New Roman" w:cs="Times New Roman"/>
          <w:sz w:val="20"/>
          <w:szCs w:val="20"/>
          <w:lang w:val="en-GB" w:eastAsia="fi-FI"/>
        </w:rPr>
        <w:t>s still leaves open</w:t>
      </w:r>
      <w:r>
        <w:rPr>
          <w:rFonts w:ascii="Times New Roman" w:hAnsi="Times New Roman" w:cs="Times New Roman"/>
          <w:sz w:val="20"/>
          <w:szCs w:val="20"/>
          <w:lang w:val="en-GB" w:eastAsia="fi-FI"/>
        </w:rPr>
        <w:t xml:space="preserve"> where the time window </w:t>
      </w:r>
      <w:r w:rsidR="002C2D0A">
        <w:rPr>
          <w:rFonts w:ascii="Times New Roman" w:hAnsi="Times New Roman" w:cs="Times New Roman"/>
          <w:sz w:val="20"/>
          <w:szCs w:val="20"/>
          <w:lang w:val="en-GB" w:eastAsia="fi-FI"/>
        </w:rPr>
        <w:t>boundaries are</w:t>
      </w:r>
      <w:r w:rsidR="00EC59AF">
        <w:rPr>
          <w:rFonts w:ascii="Times New Roman" w:hAnsi="Times New Roman" w:cs="Times New Roman"/>
          <w:sz w:val="20"/>
          <w:szCs w:val="20"/>
          <w:lang w:val="en-GB" w:eastAsia="fi-FI"/>
        </w:rPr>
        <w:t>, as well as what the UE is supposed to do when the duty cycle is exceeded</w:t>
      </w:r>
      <w:r w:rsidR="002C2D0A">
        <w:rPr>
          <w:rFonts w:ascii="Times New Roman" w:hAnsi="Times New Roman" w:cs="Times New Roman"/>
          <w:sz w:val="20"/>
          <w:szCs w:val="20"/>
          <w:lang w:val="en-GB" w:eastAsia="fi-FI"/>
        </w:rPr>
        <w:t xml:space="preserve"> within the time window</w:t>
      </w:r>
      <w:r w:rsidR="00EC59AF">
        <w:rPr>
          <w:rFonts w:ascii="Times New Roman" w:hAnsi="Times New Roman" w:cs="Times New Roman"/>
          <w:sz w:val="20"/>
          <w:szCs w:val="20"/>
          <w:lang w:val="en-GB" w:eastAsia="fi-FI"/>
        </w:rPr>
        <w:t>.</w:t>
      </w:r>
    </w:p>
    <w:p w14:paraId="49ECBAB4" w14:textId="628B43FE" w:rsidR="00EC59AF" w:rsidRDefault="00EC59AF" w:rsidP="00971B0B">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T</w:t>
      </w:r>
      <w:r w:rsidR="00A862A9">
        <w:rPr>
          <w:rFonts w:ascii="Times New Roman" w:hAnsi="Times New Roman" w:cs="Times New Roman"/>
          <w:sz w:val="20"/>
          <w:szCs w:val="20"/>
          <w:lang w:eastAsia="fi-FI"/>
        </w:rPr>
        <w:t>he suggested “</w:t>
      </w:r>
      <w:r w:rsidR="002C2D0A">
        <w:rPr>
          <w:rFonts w:ascii="Times New Roman" w:hAnsi="Times New Roman" w:cs="Times New Roman"/>
          <w:sz w:val="20"/>
          <w:szCs w:val="20"/>
          <w:lang w:eastAsia="fi-FI"/>
        </w:rPr>
        <w:t xml:space="preserve">UE could do </w:t>
      </w:r>
      <w:r w:rsidR="00A862A9">
        <w:rPr>
          <w:rFonts w:ascii="Times New Roman" w:hAnsi="Times New Roman" w:cs="Times New Roman"/>
          <w:sz w:val="20"/>
          <w:szCs w:val="20"/>
          <w:lang w:eastAsia="fi-FI"/>
        </w:rPr>
        <w:t xml:space="preserve">power back off” that is to be applied </w:t>
      </w:r>
      <w:r w:rsidR="002C2D0A">
        <w:rPr>
          <w:rFonts w:ascii="Times New Roman" w:hAnsi="Times New Roman" w:cs="Times New Roman"/>
          <w:sz w:val="20"/>
          <w:szCs w:val="20"/>
          <w:lang w:eastAsia="fi-FI"/>
        </w:rPr>
        <w:t>i</w:t>
      </w:r>
      <w:r w:rsidR="00A862A9">
        <w:rPr>
          <w:rFonts w:ascii="Times New Roman" w:hAnsi="Times New Roman" w:cs="Times New Roman"/>
          <w:sz w:val="20"/>
          <w:szCs w:val="20"/>
          <w:lang w:eastAsia="fi-FI"/>
        </w:rPr>
        <w:t xml:space="preserve">f the UL is scheduled more than the indicated UL duty cycle </w:t>
      </w:r>
      <w:r>
        <w:rPr>
          <w:rFonts w:ascii="Times New Roman" w:hAnsi="Times New Roman" w:cs="Times New Roman"/>
          <w:sz w:val="20"/>
          <w:szCs w:val="20"/>
          <w:lang w:eastAsia="fi-FI"/>
        </w:rPr>
        <w:t xml:space="preserve">appears to </w:t>
      </w:r>
      <w:r w:rsidR="00A862A9">
        <w:rPr>
          <w:rFonts w:ascii="Times New Roman" w:hAnsi="Times New Roman" w:cs="Times New Roman"/>
          <w:sz w:val="20"/>
          <w:szCs w:val="20"/>
          <w:lang w:eastAsia="fi-FI"/>
        </w:rPr>
        <w:t xml:space="preserve">either mean </w:t>
      </w:r>
    </w:p>
    <w:p w14:paraId="1BE7D74A" w14:textId="4D00557E" w:rsidR="00EC59AF" w:rsidRPr="00EC59AF" w:rsidRDefault="00EC59AF" w:rsidP="00EC59AF">
      <w:pPr>
        <w:pStyle w:val="ListParagraph"/>
        <w:numPr>
          <w:ilvl w:val="0"/>
          <w:numId w:val="53"/>
        </w:numPr>
        <w:spacing w:after="120"/>
        <w:jc w:val="both"/>
        <w:rPr>
          <w:rFonts w:ascii="Times New Roman" w:hAnsi="Times New Roman" w:cs="Times New Roman"/>
          <w:sz w:val="20"/>
          <w:szCs w:val="20"/>
          <w:lang w:eastAsia="fi-FI"/>
        </w:rPr>
      </w:pPr>
      <w:r w:rsidRPr="00EC59AF">
        <w:rPr>
          <w:rFonts w:ascii="Times New Roman" w:hAnsi="Times New Roman" w:cs="Times New Roman"/>
          <w:sz w:val="20"/>
          <w:szCs w:val="20"/>
          <w:lang w:eastAsia="fi-FI"/>
        </w:rPr>
        <w:t xml:space="preserve">Interpretation 1: </w:t>
      </w:r>
      <w:r w:rsidR="002C2D0A">
        <w:rPr>
          <w:rFonts w:ascii="Times New Roman" w:hAnsi="Times New Roman" w:cs="Times New Roman"/>
          <w:sz w:val="20"/>
          <w:szCs w:val="20"/>
          <w:lang w:eastAsia="fi-FI"/>
        </w:rPr>
        <w:t>I</w:t>
      </w:r>
      <w:r w:rsidR="00A862A9" w:rsidRPr="00EC59AF">
        <w:rPr>
          <w:rFonts w:ascii="Times New Roman" w:hAnsi="Times New Roman" w:cs="Times New Roman"/>
          <w:sz w:val="20"/>
          <w:szCs w:val="20"/>
          <w:lang w:eastAsia="fi-FI"/>
        </w:rPr>
        <w:t xml:space="preserve">f the UL transmission was not at maximum Tx power, and thus reduced max Tx power on the remainder of the UL slots still complies with the indicated duty cycle. </w:t>
      </w:r>
    </w:p>
    <w:p w14:paraId="468E173F" w14:textId="08770944" w:rsidR="00A862A9" w:rsidRPr="00EC59AF" w:rsidRDefault="00EC59AF" w:rsidP="00EC59AF">
      <w:pPr>
        <w:pStyle w:val="ListParagraph"/>
        <w:numPr>
          <w:ilvl w:val="0"/>
          <w:numId w:val="53"/>
        </w:numPr>
        <w:spacing w:after="120"/>
        <w:jc w:val="both"/>
        <w:rPr>
          <w:rFonts w:ascii="Times New Roman" w:hAnsi="Times New Roman" w:cs="Times New Roman"/>
          <w:sz w:val="20"/>
          <w:szCs w:val="20"/>
          <w:lang w:eastAsia="fi-FI"/>
        </w:rPr>
      </w:pPr>
      <w:r w:rsidRPr="00EC59AF">
        <w:rPr>
          <w:rFonts w:ascii="Times New Roman" w:hAnsi="Times New Roman" w:cs="Times New Roman"/>
          <w:sz w:val="20"/>
          <w:szCs w:val="20"/>
          <w:lang w:eastAsia="fi-FI"/>
        </w:rPr>
        <w:t xml:space="preserve">Interpretation 2: </w:t>
      </w:r>
      <w:r>
        <w:rPr>
          <w:rFonts w:ascii="Times New Roman" w:hAnsi="Times New Roman" w:cs="Times New Roman"/>
          <w:sz w:val="20"/>
          <w:szCs w:val="20"/>
          <w:lang w:eastAsia="fi-FI"/>
        </w:rPr>
        <w:t>T</w:t>
      </w:r>
      <w:r w:rsidR="00A862A9" w:rsidRPr="00EC59AF">
        <w:rPr>
          <w:rFonts w:ascii="Times New Roman" w:hAnsi="Times New Roman" w:cs="Times New Roman"/>
          <w:sz w:val="20"/>
          <w:szCs w:val="20"/>
          <w:lang w:eastAsia="fi-FI"/>
        </w:rPr>
        <w:t>he capability indicates a true on/off duty cycle as the name implies, and the “power back off” must mean “no transmission”</w:t>
      </w:r>
      <w:r>
        <w:rPr>
          <w:rFonts w:ascii="Times New Roman" w:hAnsi="Times New Roman" w:cs="Times New Roman"/>
          <w:sz w:val="20"/>
          <w:szCs w:val="20"/>
          <w:lang w:eastAsia="fi-FI"/>
        </w:rPr>
        <w:t xml:space="preserve"> for those uplink slots within the observation window that </w:t>
      </w:r>
      <w:r w:rsidR="00CD0C89">
        <w:rPr>
          <w:rFonts w:ascii="Times New Roman" w:hAnsi="Times New Roman" w:cs="Times New Roman"/>
          <w:sz w:val="20"/>
          <w:szCs w:val="20"/>
          <w:lang w:eastAsia="fi-FI"/>
        </w:rPr>
        <w:t>would be otherwise transmitted</w:t>
      </w:r>
      <w:r>
        <w:rPr>
          <w:rFonts w:ascii="Times New Roman" w:hAnsi="Times New Roman" w:cs="Times New Roman"/>
          <w:sz w:val="20"/>
          <w:szCs w:val="20"/>
          <w:lang w:eastAsia="fi-FI"/>
        </w:rPr>
        <w:t xml:space="preserve"> after the window’s uplink budget </w:t>
      </w:r>
      <w:r w:rsidR="00CD0C89">
        <w:rPr>
          <w:rFonts w:ascii="Times New Roman" w:hAnsi="Times New Roman" w:cs="Times New Roman"/>
          <w:sz w:val="20"/>
          <w:szCs w:val="20"/>
          <w:lang w:eastAsia="fi-FI"/>
        </w:rPr>
        <w:t xml:space="preserve">indicated by the UE capability </w:t>
      </w:r>
      <w:r>
        <w:rPr>
          <w:rFonts w:ascii="Times New Roman" w:hAnsi="Times New Roman" w:cs="Times New Roman"/>
          <w:sz w:val="20"/>
          <w:szCs w:val="20"/>
          <w:lang w:eastAsia="fi-FI"/>
        </w:rPr>
        <w:t>is exceeded.</w:t>
      </w:r>
    </w:p>
    <w:p w14:paraId="35ED920C" w14:textId="0212F0E4" w:rsidR="002B084D" w:rsidRDefault="00A862A9" w:rsidP="00971B0B">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 xml:space="preserve">Assume e.g. a reference TDD pattern repeating every 5 slots as D-D-D-S-U, where the switching slot consists of 10 DL symbols, 2 symbols reserved for switching gap and 2 symbols for UL. This yields an UL duty-cycle of </w:t>
      </w:r>
      <w:r w:rsidR="00EC59AF">
        <w:rPr>
          <w:rFonts w:ascii="Times New Roman" w:hAnsi="Times New Roman" w:cs="Times New Roman"/>
          <w:sz w:val="20"/>
          <w:szCs w:val="20"/>
          <w:lang w:eastAsia="fi-FI"/>
        </w:rPr>
        <w:t>~</w:t>
      </w:r>
      <w:r w:rsidR="00CD0C89">
        <w:rPr>
          <w:rFonts w:ascii="Times New Roman" w:hAnsi="Times New Roman" w:cs="Times New Roman"/>
          <w:sz w:val="20"/>
          <w:szCs w:val="20"/>
          <w:lang w:eastAsia="fi-FI"/>
        </w:rPr>
        <w:t>23</w:t>
      </w:r>
      <w:r w:rsidR="002B084D">
        <w:rPr>
          <w:rFonts w:ascii="Times New Roman" w:hAnsi="Times New Roman" w:cs="Times New Roman"/>
          <w:sz w:val="20"/>
          <w:szCs w:val="20"/>
          <w:lang w:eastAsia="fi-FI"/>
        </w:rPr>
        <w:t>%, leading to:</w:t>
      </w:r>
    </w:p>
    <w:p w14:paraId="3A1AB853" w14:textId="77777777" w:rsidR="002B084D" w:rsidRDefault="002B084D" w:rsidP="002B084D">
      <w:pPr>
        <w:pStyle w:val="ListParagraph"/>
        <w:numPr>
          <w:ilvl w:val="0"/>
          <w:numId w:val="53"/>
        </w:numPr>
        <w:spacing w:after="120"/>
        <w:jc w:val="both"/>
        <w:rPr>
          <w:rFonts w:ascii="Times New Roman" w:hAnsi="Times New Roman" w:cs="Times New Roman"/>
          <w:sz w:val="20"/>
          <w:szCs w:val="20"/>
          <w:lang w:eastAsia="fi-FI"/>
        </w:rPr>
      </w:pPr>
      <w:r w:rsidRPr="002B084D">
        <w:rPr>
          <w:rFonts w:ascii="Times New Roman" w:hAnsi="Times New Roman" w:cs="Times New Roman"/>
          <w:sz w:val="20"/>
          <w:szCs w:val="20"/>
          <w:lang w:eastAsia="fi-FI"/>
        </w:rPr>
        <w:t xml:space="preserve">UEs </w:t>
      </w:r>
      <w:r>
        <w:rPr>
          <w:rFonts w:ascii="Times New Roman" w:hAnsi="Times New Roman" w:cs="Times New Roman"/>
          <w:sz w:val="20"/>
          <w:szCs w:val="20"/>
          <w:lang w:eastAsia="fi-FI"/>
        </w:rPr>
        <w:t>with</w:t>
      </w:r>
      <w:r w:rsidRPr="002B084D">
        <w:rPr>
          <w:rFonts w:ascii="Times New Roman" w:hAnsi="Times New Roman" w:cs="Times New Roman"/>
          <w:sz w:val="20"/>
          <w:szCs w:val="20"/>
          <w:lang w:eastAsia="fi-FI"/>
        </w:rPr>
        <w:t xml:space="preserve"> ≥ 25% duty cycle can operate without system impact and dedicated scheduler actions. </w:t>
      </w:r>
    </w:p>
    <w:p w14:paraId="6E846DDA" w14:textId="48989E6D" w:rsidR="002B084D" w:rsidRDefault="002B084D" w:rsidP="002B084D">
      <w:pPr>
        <w:pStyle w:val="ListParagraph"/>
        <w:numPr>
          <w:ilvl w:val="0"/>
          <w:numId w:val="53"/>
        </w:numPr>
        <w:spacing w:after="120"/>
        <w:jc w:val="both"/>
        <w:rPr>
          <w:rFonts w:ascii="Times New Roman" w:hAnsi="Times New Roman" w:cs="Times New Roman"/>
          <w:sz w:val="20"/>
          <w:szCs w:val="20"/>
          <w:lang w:eastAsia="fi-FI"/>
        </w:rPr>
      </w:pPr>
      <w:r w:rsidRPr="002B084D">
        <w:rPr>
          <w:rFonts w:ascii="Times New Roman" w:hAnsi="Times New Roman" w:cs="Times New Roman"/>
          <w:sz w:val="20"/>
          <w:szCs w:val="20"/>
          <w:lang w:eastAsia="fi-FI"/>
        </w:rPr>
        <w:t>UEs with 20% duty cycle would need to avoid using the UL portion of the switching slot or truncate the UL slot to 12 symbols somehow</w:t>
      </w:r>
      <w:r w:rsidR="00FE77BF">
        <w:rPr>
          <w:rFonts w:ascii="Times New Roman" w:hAnsi="Times New Roman" w:cs="Times New Roman"/>
          <w:sz w:val="20"/>
          <w:szCs w:val="20"/>
          <w:lang w:eastAsia="fi-FI"/>
        </w:rPr>
        <w:t>. Or ensure that a portion of the ‘U’ slots within “a certain observation window” are not scheduled</w:t>
      </w:r>
      <w:r w:rsidR="00CD0C89">
        <w:rPr>
          <w:rFonts w:ascii="Times New Roman" w:hAnsi="Times New Roman" w:cs="Times New Roman"/>
          <w:sz w:val="20"/>
          <w:szCs w:val="20"/>
          <w:lang w:eastAsia="fi-FI"/>
        </w:rPr>
        <w:t xml:space="preserve"> or transmit long PUCCH</w:t>
      </w:r>
      <w:r w:rsidR="00FE77BF">
        <w:rPr>
          <w:rFonts w:ascii="Times New Roman" w:hAnsi="Times New Roman" w:cs="Times New Roman"/>
          <w:sz w:val="20"/>
          <w:szCs w:val="20"/>
          <w:lang w:eastAsia="fi-FI"/>
        </w:rPr>
        <w:t xml:space="preserve">.  </w:t>
      </w:r>
    </w:p>
    <w:p w14:paraId="1E62B38F" w14:textId="3F48CBCF" w:rsidR="002B084D" w:rsidRDefault="002B084D" w:rsidP="002B084D">
      <w:pPr>
        <w:pStyle w:val="ListParagraph"/>
        <w:numPr>
          <w:ilvl w:val="0"/>
          <w:numId w:val="53"/>
        </w:numPr>
        <w:spacing w:after="120"/>
        <w:jc w:val="both"/>
        <w:rPr>
          <w:rFonts w:ascii="Times New Roman" w:hAnsi="Times New Roman" w:cs="Times New Roman"/>
          <w:sz w:val="20"/>
          <w:szCs w:val="20"/>
          <w:lang w:eastAsia="fi-FI"/>
        </w:rPr>
      </w:pPr>
      <w:r w:rsidRPr="002B084D">
        <w:rPr>
          <w:rFonts w:ascii="Times New Roman" w:hAnsi="Times New Roman" w:cs="Times New Roman"/>
          <w:sz w:val="20"/>
          <w:szCs w:val="20"/>
          <w:lang w:eastAsia="fi-FI"/>
        </w:rPr>
        <w:t xml:space="preserve">UEs with 10% duty </w:t>
      </w:r>
      <w:r>
        <w:rPr>
          <w:rFonts w:ascii="Times New Roman" w:hAnsi="Times New Roman" w:cs="Times New Roman"/>
          <w:sz w:val="20"/>
          <w:szCs w:val="20"/>
          <w:lang w:eastAsia="fi-FI"/>
        </w:rPr>
        <w:t xml:space="preserve">cycle </w:t>
      </w:r>
      <w:r w:rsidR="00FE77BF">
        <w:rPr>
          <w:rFonts w:ascii="Times New Roman" w:hAnsi="Times New Roman" w:cs="Times New Roman"/>
          <w:sz w:val="20"/>
          <w:szCs w:val="20"/>
          <w:lang w:eastAsia="fi-FI"/>
        </w:rPr>
        <w:t xml:space="preserve">(if allowed) </w:t>
      </w:r>
      <w:r>
        <w:rPr>
          <w:rFonts w:ascii="Times New Roman" w:hAnsi="Times New Roman" w:cs="Times New Roman"/>
          <w:sz w:val="20"/>
          <w:szCs w:val="20"/>
          <w:lang w:eastAsia="fi-FI"/>
        </w:rPr>
        <w:t xml:space="preserve">would mean that </w:t>
      </w:r>
      <w:r w:rsidR="00FE77BF">
        <w:rPr>
          <w:rFonts w:ascii="Times New Roman" w:hAnsi="Times New Roman" w:cs="Times New Roman"/>
          <w:sz w:val="20"/>
          <w:szCs w:val="20"/>
          <w:lang w:eastAsia="fi-FI"/>
        </w:rPr>
        <w:t xml:space="preserve">e.g. </w:t>
      </w:r>
      <w:r>
        <w:rPr>
          <w:rFonts w:ascii="Times New Roman" w:hAnsi="Times New Roman" w:cs="Times New Roman"/>
          <w:sz w:val="20"/>
          <w:szCs w:val="20"/>
          <w:lang w:eastAsia="fi-FI"/>
        </w:rPr>
        <w:t>only every second UL portion could be used and that only partially, either calling for a dedicated scheduler implementation or &gt;50% packet loss rate for both uplink and downlink (loss of HARQ-ACK feedback)</w:t>
      </w:r>
    </w:p>
    <w:p w14:paraId="37A6EE3A" w14:textId="24A409BC" w:rsidR="002B084D" w:rsidRDefault="002B084D" w:rsidP="002B084D">
      <w:pPr>
        <w:pStyle w:val="ListParagraph"/>
        <w:numPr>
          <w:ilvl w:val="0"/>
          <w:numId w:val="53"/>
        </w:num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If duty cycle &lt;10% would be allowed, the abovementioned problems would be further amplified.</w:t>
      </w:r>
    </w:p>
    <w:p w14:paraId="25967C49" w14:textId="01741453" w:rsidR="00CD0C89" w:rsidRPr="00CD0C89" w:rsidRDefault="00CD0C89" w:rsidP="00CD0C89">
      <w:pPr>
        <w:spacing w:after="120"/>
        <w:jc w:val="both"/>
        <w:rPr>
          <w:rFonts w:ascii="Times New Roman" w:hAnsi="Times New Roman" w:cs="Times New Roman"/>
          <w:sz w:val="20"/>
          <w:szCs w:val="20"/>
          <w:lang w:eastAsia="fi-FI"/>
        </w:rPr>
      </w:pPr>
      <w:r w:rsidRPr="00CD0C89">
        <w:rPr>
          <w:rFonts w:ascii="Times New Roman" w:hAnsi="Times New Roman" w:cs="Times New Roman"/>
          <w:sz w:val="20"/>
          <w:szCs w:val="20"/>
          <w:lang w:eastAsia="fi-FI"/>
        </w:rPr>
        <w:lastRenderedPageBreak/>
        <w:t>Naturally the abovementioned problems would become more severe with more uplink-heavy TDD patterns.</w:t>
      </w:r>
      <w:r>
        <w:rPr>
          <w:rFonts w:ascii="Times New Roman" w:hAnsi="Times New Roman" w:cs="Times New Roman"/>
          <w:sz w:val="20"/>
          <w:szCs w:val="20"/>
          <w:lang w:eastAsia="fi-FI"/>
        </w:rPr>
        <w:t xml:space="preserve"> E.g. a 2% UE </w:t>
      </w:r>
      <w:r w:rsidR="00F37552">
        <w:rPr>
          <w:rFonts w:ascii="Times New Roman" w:hAnsi="Times New Roman" w:cs="Times New Roman"/>
          <w:sz w:val="20"/>
          <w:szCs w:val="20"/>
          <w:lang w:eastAsia="fi-FI"/>
        </w:rPr>
        <w:t xml:space="preserve">that was proposed in RAN4 LS </w:t>
      </w:r>
      <w:r>
        <w:rPr>
          <w:rFonts w:ascii="Times New Roman" w:hAnsi="Times New Roman" w:cs="Times New Roman"/>
          <w:sz w:val="20"/>
          <w:szCs w:val="20"/>
          <w:lang w:eastAsia="fi-FI"/>
        </w:rPr>
        <w:t xml:space="preserve">would not be able to transmit </w:t>
      </w:r>
      <w:r w:rsidR="00F37552">
        <w:rPr>
          <w:rFonts w:ascii="Times New Roman" w:hAnsi="Times New Roman" w:cs="Times New Roman"/>
          <w:sz w:val="20"/>
          <w:szCs w:val="20"/>
          <w:lang w:eastAsia="fi-FI"/>
        </w:rPr>
        <w:t>more than 1</w:t>
      </w:r>
      <w:r>
        <w:rPr>
          <w:rFonts w:ascii="Times New Roman" w:hAnsi="Times New Roman" w:cs="Times New Roman"/>
          <w:sz w:val="20"/>
          <w:szCs w:val="20"/>
          <w:lang w:eastAsia="fi-FI"/>
        </w:rPr>
        <w:t xml:space="preserve"> symbol on the D-D-D-S-U </w:t>
      </w:r>
      <w:r w:rsidR="00F37552">
        <w:rPr>
          <w:rFonts w:ascii="Times New Roman" w:hAnsi="Times New Roman" w:cs="Times New Roman"/>
          <w:sz w:val="20"/>
          <w:szCs w:val="20"/>
          <w:lang w:eastAsia="fi-FI"/>
        </w:rPr>
        <w:t>TDD pattern in each cycle essentially blocking the link.</w:t>
      </w:r>
    </w:p>
    <w:p w14:paraId="24DAC4EF" w14:textId="6EC29B4B" w:rsidR="00FE77BF" w:rsidRDefault="00FE77BF" w:rsidP="00FE77BF">
      <w:pPr>
        <w:spacing w:after="120"/>
        <w:jc w:val="both"/>
        <w:rPr>
          <w:rFonts w:ascii="Times New Roman" w:hAnsi="Times New Roman" w:cs="Times New Roman"/>
          <w:b/>
          <w:sz w:val="20"/>
          <w:szCs w:val="20"/>
          <w:lang w:eastAsia="fi-FI"/>
        </w:rPr>
      </w:pPr>
      <w:r w:rsidRPr="00FE77BF">
        <w:rPr>
          <w:rFonts w:ascii="Times New Roman" w:hAnsi="Times New Roman" w:cs="Times New Roman"/>
          <w:b/>
          <w:sz w:val="20"/>
          <w:szCs w:val="20"/>
          <w:lang w:eastAsia="fi-FI"/>
        </w:rPr>
        <w:t xml:space="preserve">Observation 1: The requested new UE capability is </w:t>
      </w:r>
      <w:r>
        <w:rPr>
          <w:rFonts w:ascii="Times New Roman" w:hAnsi="Times New Roman" w:cs="Times New Roman"/>
          <w:b/>
          <w:sz w:val="20"/>
          <w:szCs w:val="20"/>
          <w:lang w:eastAsia="fi-FI"/>
        </w:rPr>
        <w:t xml:space="preserve">unclear and requires specification work </w:t>
      </w:r>
    </w:p>
    <w:p w14:paraId="3ACC7239" w14:textId="7A319332" w:rsidR="00F37552" w:rsidRPr="00FE77BF" w:rsidRDefault="00F37552" w:rsidP="00FE77BF">
      <w:pPr>
        <w:spacing w:after="120"/>
        <w:jc w:val="both"/>
        <w:rPr>
          <w:rFonts w:ascii="Times New Roman" w:hAnsi="Times New Roman" w:cs="Times New Roman"/>
          <w:b/>
          <w:sz w:val="20"/>
          <w:szCs w:val="20"/>
          <w:lang w:eastAsia="fi-FI"/>
        </w:rPr>
      </w:pPr>
      <w:r w:rsidRPr="00FE77BF">
        <w:rPr>
          <w:rFonts w:ascii="Times New Roman" w:hAnsi="Times New Roman" w:cs="Times New Roman"/>
          <w:b/>
          <w:sz w:val="20"/>
          <w:szCs w:val="20"/>
          <w:lang w:eastAsia="fi-FI"/>
        </w:rPr>
        <w:t xml:space="preserve">Observation </w:t>
      </w:r>
      <w:r>
        <w:rPr>
          <w:rFonts w:ascii="Times New Roman" w:hAnsi="Times New Roman" w:cs="Times New Roman"/>
          <w:b/>
          <w:sz w:val="20"/>
          <w:szCs w:val="20"/>
          <w:lang w:eastAsia="fi-FI"/>
        </w:rPr>
        <w:t>2</w:t>
      </w:r>
      <w:r w:rsidRPr="00FE77BF">
        <w:rPr>
          <w:rFonts w:ascii="Times New Roman" w:hAnsi="Times New Roman" w:cs="Times New Roman"/>
          <w:b/>
          <w:sz w:val="20"/>
          <w:szCs w:val="20"/>
          <w:lang w:eastAsia="fi-FI"/>
        </w:rPr>
        <w:t xml:space="preserve">: </w:t>
      </w:r>
      <w:r>
        <w:rPr>
          <w:rFonts w:ascii="Times New Roman" w:hAnsi="Times New Roman" w:cs="Times New Roman"/>
          <w:b/>
          <w:sz w:val="20"/>
          <w:szCs w:val="20"/>
          <w:lang w:eastAsia="fi-FI"/>
        </w:rPr>
        <w:t xml:space="preserve">Low UL duty cycle capabilities (below 25%) appear to create problems even with DL heavy TDD patterns and would require specific </w:t>
      </w:r>
      <w:proofErr w:type="spellStart"/>
      <w:r>
        <w:rPr>
          <w:rFonts w:ascii="Times New Roman" w:hAnsi="Times New Roman" w:cs="Times New Roman"/>
          <w:b/>
          <w:sz w:val="20"/>
          <w:szCs w:val="20"/>
          <w:lang w:eastAsia="fi-FI"/>
        </w:rPr>
        <w:t>gNB</w:t>
      </w:r>
      <w:proofErr w:type="spellEnd"/>
      <w:r>
        <w:rPr>
          <w:rFonts w:ascii="Times New Roman" w:hAnsi="Times New Roman" w:cs="Times New Roman"/>
          <w:b/>
          <w:sz w:val="20"/>
          <w:szCs w:val="20"/>
          <w:lang w:eastAsia="fi-FI"/>
        </w:rPr>
        <w:t xml:space="preserve"> implementation to mitigate the impact.</w:t>
      </w:r>
    </w:p>
    <w:p w14:paraId="584F8E92" w14:textId="77777777" w:rsidR="00CD0C89" w:rsidRDefault="00CD0C89" w:rsidP="00971B0B">
      <w:pPr>
        <w:spacing w:after="120"/>
        <w:jc w:val="both"/>
        <w:rPr>
          <w:rFonts w:ascii="Times New Roman" w:hAnsi="Times New Roman" w:cs="Times New Roman"/>
          <w:sz w:val="20"/>
          <w:szCs w:val="20"/>
          <w:lang w:eastAsia="fi-FI"/>
        </w:rPr>
      </w:pPr>
    </w:p>
    <w:p w14:paraId="0DADAFBC" w14:textId="01C0B0E9" w:rsidR="00942455" w:rsidRDefault="002B084D" w:rsidP="00971B0B">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It is important to note that when RAN4 agreed to introduce the UL duty cycle, there was another accompanying agreement made [</w:t>
      </w:r>
      <w:r w:rsidR="00742893">
        <w:rPr>
          <w:rFonts w:ascii="Times New Roman" w:hAnsi="Times New Roman" w:cs="Times New Roman"/>
          <w:sz w:val="20"/>
          <w:szCs w:val="20"/>
          <w:lang w:eastAsia="fi-FI"/>
        </w:rPr>
        <w:t>5</w:t>
      </w:r>
      <w:r>
        <w:rPr>
          <w:rFonts w:ascii="Times New Roman" w:hAnsi="Times New Roman" w:cs="Times New Roman"/>
          <w:sz w:val="20"/>
          <w:szCs w:val="20"/>
          <w:lang w:eastAsia="fi-FI"/>
        </w:rPr>
        <w:t>]: “</w:t>
      </w:r>
      <w:r w:rsidRPr="002B084D">
        <w:rPr>
          <w:rFonts w:ascii="Times New Roman" w:hAnsi="Times New Roman" w:cs="Times New Roman"/>
          <w:color w:val="FF0000"/>
          <w:sz w:val="20"/>
          <w:szCs w:val="20"/>
          <w:lang w:eastAsia="fi-FI"/>
        </w:rPr>
        <w:t xml:space="preserve">This % does not affect </w:t>
      </w:r>
      <w:proofErr w:type="spellStart"/>
      <w:r w:rsidRPr="002B084D">
        <w:rPr>
          <w:rFonts w:ascii="Times New Roman" w:hAnsi="Times New Roman" w:cs="Times New Roman"/>
          <w:color w:val="FF0000"/>
          <w:sz w:val="20"/>
          <w:szCs w:val="20"/>
          <w:lang w:eastAsia="fi-FI"/>
        </w:rPr>
        <w:t>basestation</w:t>
      </w:r>
      <w:proofErr w:type="spellEnd"/>
      <w:r w:rsidRPr="002B084D">
        <w:rPr>
          <w:rFonts w:ascii="Times New Roman" w:hAnsi="Times New Roman" w:cs="Times New Roman"/>
          <w:color w:val="FF0000"/>
          <w:sz w:val="20"/>
          <w:szCs w:val="20"/>
          <w:lang w:eastAsia="fi-FI"/>
        </w:rPr>
        <w:t xml:space="preserve"> scheduler. That clarification is captured in the next meeting</w:t>
      </w:r>
      <w:r w:rsidRPr="002B084D">
        <w:rPr>
          <w:rFonts w:ascii="Times New Roman" w:hAnsi="Times New Roman" w:cs="Times New Roman"/>
          <w:sz w:val="20"/>
          <w:szCs w:val="20"/>
          <w:lang w:eastAsia="fi-FI"/>
        </w:rPr>
        <w:t>.</w:t>
      </w:r>
      <w:r>
        <w:rPr>
          <w:rFonts w:ascii="Times New Roman" w:hAnsi="Times New Roman" w:cs="Times New Roman"/>
          <w:sz w:val="20"/>
          <w:szCs w:val="20"/>
          <w:lang w:eastAsia="fi-FI"/>
        </w:rPr>
        <w:t xml:space="preserve">”. </w:t>
      </w:r>
    </w:p>
    <w:p w14:paraId="21E9CF68" w14:textId="68F93320" w:rsidR="00FE77BF" w:rsidRDefault="002B084D" w:rsidP="00971B0B">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 xml:space="preserve">Without too much analysis, it should be clear that this </w:t>
      </w:r>
      <w:r w:rsidR="00942455">
        <w:rPr>
          <w:rFonts w:ascii="Times New Roman" w:hAnsi="Times New Roman" w:cs="Times New Roman"/>
          <w:sz w:val="20"/>
          <w:szCs w:val="20"/>
          <w:lang w:eastAsia="fi-FI"/>
        </w:rPr>
        <w:t>agreement</w:t>
      </w:r>
      <w:r>
        <w:rPr>
          <w:rFonts w:ascii="Times New Roman" w:hAnsi="Times New Roman" w:cs="Times New Roman"/>
          <w:sz w:val="20"/>
          <w:szCs w:val="20"/>
          <w:lang w:eastAsia="fi-FI"/>
        </w:rPr>
        <w:t xml:space="preserve"> can only hold if the UE’s UL duty cycle capability is </w:t>
      </w:r>
      <w:r w:rsidR="00F37552">
        <w:rPr>
          <w:rFonts w:ascii="Times New Roman" w:hAnsi="Times New Roman" w:cs="Times New Roman"/>
          <w:sz w:val="20"/>
          <w:szCs w:val="20"/>
          <w:lang w:eastAsia="fi-FI"/>
        </w:rPr>
        <w:t>larger than</w:t>
      </w:r>
      <w:r>
        <w:rPr>
          <w:rFonts w:ascii="Times New Roman" w:hAnsi="Times New Roman" w:cs="Times New Roman"/>
          <w:sz w:val="20"/>
          <w:szCs w:val="20"/>
          <w:lang w:eastAsia="fi-FI"/>
        </w:rPr>
        <w:t xml:space="preserve"> the TDD pattern’s UL duty cycle, or a specific power-back off behavior that allows for reducing the max Tx power </w:t>
      </w:r>
      <w:r w:rsidR="00C908B6">
        <w:rPr>
          <w:rFonts w:ascii="Times New Roman" w:hAnsi="Times New Roman" w:cs="Times New Roman"/>
          <w:sz w:val="20"/>
          <w:szCs w:val="20"/>
          <w:lang w:eastAsia="fi-FI"/>
        </w:rPr>
        <w:t xml:space="preserve">as a function of </w:t>
      </w:r>
      <w:proofErr w:type="gramStart"/>
      <w:r w:rsidR="00C908B6">
        <w:rPr>
          <w:rFonts w:ascii="Times New Roman" w:hAnsi="Times New Roman" w:cs="Times New Roman"/>
          <w:sz w:val="20"/>
          <w:szCs w:val="20"/>
          <w:lang w:eastAsia="fi-FI"/>
        </w:rPr>
        <w:t>actually transmitted</w:t>
      </w:r>
      <w:proofErr w:type="gramEnd"/>
      <w:r w:rsidR="00C908B6">
        <w:rPr>
          <w:rFonts w:ascii="Times New Roman" w:hAnsi="Times New Roman" w:cs="Times New Roman"/>
          <w:sz w:val="20"/>
          <w:szCs w:val="20"/>
          <w:lang w:eastAsia="fi-FI"/>
        </w:rPr>
        <w:t xml:space="preserve"> power within a well-specified observation window</w:t>
      </w:r>
      <w:r w:rsidR="00CD0C89">
        <w:rPr>
          <w:rFonts w:ascii="Times New Roman" w:hAnsi="Times New Roman" w:cs="Times New Roman"/>
          <w:sz w:val="20"/>
          <w:szCs w:val="20"/>
          <w:lang w:eastAsia="fi-FI"/>
        </w:rPr>
        <w:t xml:space="preserve"> is defined</w:t>
      </w:r>
      <w:r>
        <w:rPr>
          <w:rFonts w:ascii="Times New Roman" w:hAnsi="Times New Roman" w:cs="Times New Roman"/>
          <w:sz w:val="20"/>
          <w:szCs w:val="20"/>
          <w:lang w:eastAsia="fi-FI"/>
        </w:rPr>
        <w:t>.</w:t>
      </w:r>
      <w:r w:rsidR="00942455">
        <w:rPr>
          <w:rFonts w:ascii="Times New Roman" w:hAnsi="Times New Roman" w:cs="Times New Roman"/>
          <w:sz w:val="20"/>
          <w:szCs w:val="20"/>
          <w:lang w:eastAsia="fi-FI"/>
        </w:rPr>
        <w:t xml:space="preserve"> </w:t>
      </w:r>
      <w:r w:rsidR="00CD0C89">
        <w:rPr>
          <w:rFonts w:ascii="Times New Roman" w:hAnsi="Times New Roman" w:cs="Times New Roman"/>
          <w:sz w:val="20"/>
          <w:szCs w:val="20"/>
          <w:lang w:eastAsia="fi-FI"/>
        </w:rPr>
        <w:t xml:space="preserve">Still </w:t>
      </w:r>
      <w:r w:rsidR="00F37552">
        <w:rPr>
          <w:rFonts w:ascii="Times New Roman" w:hAnsi="Times New Roman" w:cs="Times New Roman"/>
          <w:sz w:val="20"/>
          <w:szCs w:val="20"/>
          <w:lang w:eastAsia="fi-FI"/>
        </w:rPr>
        <w:t xml:space="preserve">with the latter </w:t>
      </w:r>
      <w:r w:rsidR="00CD0C89">
        <w:rPr>
          <w:rFonts w:ascii="Times New Roman" w:hAnsi="Times New Roman" w:cs="Times New Roman"/>
          <w:sz w:val="20"/>
          <w:szCs w:val="20"/>
          <w:lang w:eastAsia="fi-FI"/>
        </w:rPr>
        <w:t>there would be negative implications when the UE operated at full power as then the duty cycle still becomes a hard on/off duty cycle</w:t>
      </w:r>
      <w:r w:rsidR="00F37552">
        <w:rPr>
          <w:rFonts w:ascii="Times New Roman" w:hAnsi="Times New Roman" w:cs="Times New Roman"/>
          <w:sz w:val="20"/>
          <w:szCs w:val="20"/>
          <w:lang w:eastAsia="fi-FI"/>
        </w:rPr>
        <w:t xml:space="preserve"> and power back-off would lead to packet dropping</w:t>
      </w:r>
      <w:r w:rsidR="00CD0C89">
        <w:rPr>
          <w:rFonts w:ascii="Times New Roman" w:hAnsi="Times New Roman" w:cs="Times New Roman"/>
          <w:sz w:val="20"/>
          <w:szCs w:val="20"/>
          <w:lang w:eastAsia="fi-FI"/>
        </w:rPr>
        <w:t xml:space="preserve">. </w:t>
      </w:r>
      <w:r w:rsidR="00942455">
        <w:rPr>
          <w:rFonts w:ascii="Times New Roman" w:hAnsi="Times New Roman" w:cs="Times New Roman"/>
          <w:sz w:val="20"/>
          <w:szCs w:val="20"/>
          <w:lang w:eastAsia="fi-FI"/>
        </w:rPr>
        <w:t>It does appear that RAN4 did not consider these aspects.</w:t>
      </w:r>
    </w:p>
    <w:p w14:paraId="0B458DB2" w14:textId="0338B8B1" w:rsidR="00FE77BF" w:rsidRDefault="00FE77BF" w:rsidP="00971B0B">
      <w:pPr>
        <w:spacing w:after="120"/>
        <w:jc w:val="both"/>
        <w:rPr>
          <w:rFonts w:ascii="Times New Roman" w:hAnsi="Times New Roman" w:cs="Times New Roman"/>
          <w:b/>
          <w:sz w:val="20"/>
          <w:szCs w:val="20"/>
          <w:lang w:eastAsia="fi-FI"/>
        </w:rPr>
      </w:pPr>
      <w:r>
        <w:rPr>
          <w:rFonts w:ascii="Times New Roman" w:hAnsi="Times New Roman" w:cs="Times New Roman"/>
          <w:b/>
          <w:sz w:val="20"/>
          <w:szCs w:val="20"/>
          <w:lang w:eastAsia="fi-FI"/>
        </w:rPr>
        <w:t xml:space="preserve">Observation </w:t>
      </w:r>
      <w:r w:rsidR="00F37552">
        <w:rPr>
          <w:rFonts w:ascii="Times New Roman" w:hAnsi="Times New Roman" w:cs="Times New Roman"/>
          <w:b/>
          <w:sz w:val="20"/>
          <w:szCs w:val="20"/>
          <w:lang w:eastAsia="fi-FI"/>
        </w:rPr>
        <w:t>3</w:t>
      </w:r>
      <w:r>
        <w:rPr>
          <w:rFonts w:ascii="Times New Roman" w:hAnsi="Times New Roman" w:cs="Times New Roman"/>
          <w:b/>
          <w:sz w:val="20"/>
          <w:szCs w:val="20"/>
          <w:lang w:eastAsia="fi-FI"/>
        </w:rPr>
        <w:t xml:space="preserve">: The agreement that </w:t>
      </w:r>
      <w:r w:rsidR="00A6623F">
        <w:rPr>
          <w:rFonts w:ascii="Times New Roman" w:hAnsi="Times New Roman" w:cs="Times New Roman"/>
          <w:b/>
          <w:sz w:val="20"/>
          <w:szCs w:val="20"/>
          <w:lang w:eastAsia="fi-FI"/>
        </w:rPr>
        <w:t>the requested new UE capability does not affect base station scheduler seems to be conflicting with the capability definition</w:t>
      </w:r>
      <w:r w:rsidR="00CD0C89">
        <w:rPr>
          <w:rFonts w:ascii="Times New Roman" w:hAnsi="Times New Roman" w:cs="Times New Roman"/>
          <w:b/>
          <w:sz w:val="20"/>
          <w:szCs w:val="20"/>
          <w:lang w:eastAsia="fi-FI"/>
        </w:rPr>
        <w:t xml:space="preserve"> that seems to have drastic impact to the system unless scheduler mitigates them</w:t>
      </w:r>
      <w:r w:rsidR="00A6623F">
        <w:rPr>
          <w:rFonts w:ascii="Times New Roman" w:hAnsi="Times New Roman" w:cs="Times New Roman"/>
          <w:b/>
          <w:sz w:val="20"/>
          <w:szCs w:val="20"/>
          <w:lang w:eastAsia="fi-FI"/>
        </w:rPr>
        <w:t>.</w:t>
      </w:r>
    </w:p>
    <w:p w14:paraId="0FAF679D" w14:textId="77777777" w:rsidR="00A6623F" w:rsidRDefault="00A6623F" w:rsidP="00971B0B">
      <w:pPr>
        <w:spacing w:after="120"/>
        <w:jc w:val="both"/>
        <w:rPr>
          <w:rFonts w:ascii="Times New Roman" w:hAnsi="Times New Roman" w:cs="Times New Roman"/>
          <w:b/>
          <w:sz w:val="20"/>
          <w:szCs w:val="20"/>
          <w:lang w:eastAsia="fi-FI"/>
        </w:rPr>
      </w:pPr>
    </w:p>
    <w:p w14:paraId="6A793816" w14:textId="7CECA63C" w:rsidR="00F37552" w:rsidRPr="00F37552" w:rsidRDefault="00A6623F" w:rsidP="00F37552">
      <w:pPr>
        <w:spacing w:after="120"/>
        <w:jc w:val="both"/>
        <w:rPr>
          <w:rFonts w:ascii="Times New Roman" w:hAnsi="Times New Roman" w:cs="Times New Roman"/>
          <w:b/>
          <w:sz w:val="20"/>
          <w:szCs w:val="20"/>
          <w:lang w:eastAsia="fi-FI"/>
        </w:rPr>
      </w:pPr>
      <w:r>
        <w:rPr>
          <w:rFonts w:ascii="Times New Roman" w:hAnsi="Times New Roman" w:cs="Times New Roman"/>
          <w:b/>
          <w:sz w:val="20"/>
          <w:szCs w:val="20"/>
          <w:lang w:eastAsia="fi-FI"/>
        </w:rPr>
        <w:t>Proposal:</w:t>
      </w:r>
    </w:p>
    <w:p w14:paraId="128D3F3A" w14:textId="35413469" w:rsidR="00F37552" w:rsidRPr="00F37552" w:rsidRDefault="00F37552" w:rsidP="00F37552">
      <w:pPr>
        <w:spacing w:after="120"/>
        <w:ind w:left="360"/>
        <w:jc w:val="both"/>
        <w:rPr>
          <w:rFonts w:ascii="Times New Roman" w:hAnsi="Times New Roman" w:cs="Times New Roman"/>
          <w:b/>
          <w:sz w:val="20"/>
          <w:szCs w:val="20"/>
          <w:lang w:eastAsia="fi-FI"/>
        </w:rPr>
      </w:pPr>
      <w:r>
        <w:rPr>
          <w:rFonts w:ascii="Times New Roman" w:hAnsi="Times New Roman" w:cs="Times New Roman"/>
          <w:b/>
          <w:sz w:val="20"/>
          <w:szCs w:val="20"/>
          <w:lang w:eastAsia="fi-FI"/>
        </w:rPr>
        <w:t xml:space="preserve">Send </w:t>
      </w:r>
      <w:proofErr w:type="gramStart"/>
      <w:r>
        <w:rPr>
          <w:rFonts w:ascii="Times New Roman" w:hAnsi="Times New Roman" w:cs="Times New Roman"/>
          <w:b/>
          <w:sz w:val="20"/>
          <w:szCs w:val="20"/>
          <w:lang w:eastAsia="fi-FI"/>
        </w:rPr>
        <w:t>an</w:t>
      </w:r>
      <w:proofErr w:type="gramEnd"/>
      <w:r>
        <w:rPr>
          <w:rFonts w:ascii="Times New Roman" w:hAnsi="Times New Roman" w:cs="Times New Roman"/>
          <w:b/>
          <w:sz w:val="20"/>
          <w:szCs w:val="20"/>
          <w:lang w:eastAsia="fi-FI"/>
        </w:rPr>
        <w:t xml:space="preserve"> LS to RAN4 requesting a more detailed definition of the following</w:t>
      </w:r>
    </w:p>
    <w:p w14:paraId="17A6CB00" w14:textId="3F8B9FAB" w:rsidR="00A6623F" w:rsidRDefault="00A6623F" w:rsidP="00A6623F">
      <w:pPr>
        <w:pStyle w:val="ListParagraph"/>
        <w:numPr>
          <w:ilvl w:val="0"/>
          <w:numId w:val="55"/>
        </w:numPr>
        <w:spacing w:after="120"/>
        <w:jc w:val="both"/>
        <w:rPr>
          <w:rFonts w:ascii="Times New Roman" w:hAnsi="Times New Roman" w:cs="Times New Roman"/>
          <w:b/>
          <w:sz w:val="20"/>
          <w:szCs w:val="20"/>
          <w:lang w:eastAsia="fi-FI"/>
        </w:rPr>
      </w:pPr>
      <w:r>
        <w:rPr>
          <w:rFonts w:ascii="Times New Roman" w:hAnsi="Times New Roman" w:cs="Times New Roman"/>
          <w:b/>
          <w:sz w:val="20"/>
          <w:szCs w:val="20"/>
          <w:lang w:eastAsia="fi-FI"/>
        </w:rPr>
        <w:t xml:space="preserve">How is the “certain </w:t>
      </w:r>
      <w:r w:rsidR="00F37552">
        <w:rPr>
          <w:rFonts w:ascii="Times New Roman" w:hAnsi="Times New Roman" w:cs="Times New Roman"/>
          <w:b/>
          <w:sz w:val="20"/>
          <w:szCs w:val="20"/>
          <w:lang w:eastAsia="fi-FI"/>
        </w:rPr>
        <w:t>evaluation period</w:t>
      </w:r>
      <w:r>
        <w:rPr>
          <w:rFonts w:ascii="Times New Roman" w:hAnsi="Times New Roman" w:cs="Times New Roman"/>
          <w:b/>
          <w:sz w:val="20"/>
          <w:szCs w:val="20"/>
          <w:lang w:eastAsia="fi-FI"/>
        </w:rPr>
        <w:t xml:space="preserve">” defined </w:t>
      </w:r>
    </w:p>
    <w:p w14:paraId="28E2452B" w14:textId="391A7D43" w:rsidR="00A6623F" w:rsidRDefault="00CD0C89" w:rsidP="00A6623F">
      <w:pPr>
        <w:pStyle w:val="ListParagraph"/>
        <w:numPr>
          <w:ilvl w:val="0"/>
          <w:numId w:val="55"/>
        </w:numPr>
        <w:spacing w:after="120"/>
        <w:jc w:val="both"/>
        <w:rPr>
          <w:rFonts w:ascii="Times New Roman" w:hAnsi="Times New Roman" w:cs="Times New Roman"/>
          <w:b/>
          <w:sz w:val="20"/>
          <w:szCs w:val="20"/>
          <w:lang w:eastAsia="fi-FI"/>
        </w:rPr>
      </w:pPr>
      <w:r>
        <w:rPr>
          <w:rFonts w:ascii="Times New Roman" w:hAnsi="Times New Roman" w:cs="Times New Roman"/>
          <w:b/>
          <w:sz w:val="20"/>
          <w:szCs w:val="20"/>
          <w:lang w:eastAsia="fi-FI"/>
        </w:rPr>
        <w:t>What is the UE behavior if more uplink is scheduled</w:t>
      </w:r>
      <w:r w:rsidR="00F37552">
        <w:rPr>
          <w:rFonts w:ascii="Times New Roman" w:hAnsi="Times New Roman" w:cs="Times New Roman"/>
          <w:b/>
          <w:sz w:val="20"/>
          <w:szCs w:val="20"/>
          <w:lang w:eastAsia="fi-FI"/>
        </w:rPr>
        <w:t xml:space="preserve"> within “certain evaluation </w:t>
      </w:r>
      <w:proofErr w:type="gramStart"/>
      <w:r w:rsidR="00F37552">
        <w:rPr>
          <w:rFonts w:ascii="Times New Roman" w:hAnsi="Times New Roman" w:cs="Times New Roman"/>
          <w:b/>
          <w:sz w:val="20"/>
          <w:szCs w:val="20"/>
          <w:lang w:eastAsia="fi-FI"/>
        </w:rPr>
        <w:t>period”</w:t>
      </w:r>
      <w:proofErr w:type="gramEnd"/>
    </w:p>
    <w:p w14:paraId="2309F147" w14:textId="4F79371D" w:rsidR="00CD0C89" w:rsidRDefault="00CD0C89" w:rsidP="00A6623F">
      <w:pPr>
        <w:pStyle w:val="ListParagraph"/>
        <w:numPr>
          <w:ilvl w:val="0"/>
          <w:numId w:val="55"/>
        </w:numPr>
        <w:spacing w:after="120"/>
        <w:jc w:val="both"/>
        <w:rPr>
          <w:rFonts w:ascii="Times New Roman" w:hAnsi="Times New Roman" w:cs="Times New Roman"/>
          <w:b/>
          <w:sz w:val="20"/>
          <w:szCs w:val="20"/>
          <w:lang w:eastAsia="fi-FI"/>
        </w:rPr>
      </w:pPr>
      <w:r>
        <w:rPr>
          <w:rFonts w:ascii="Times New Roman" w:hAnsi="Times New Roman" w:cs="Times New Roman"/>
          <w:b/>
          <w:sz w:val="20"/>
          <w:szCs w:val="20"/>
          <w:lang w:eastAsia="fi-FI"/>
        </w:rPr>
        <w:t xml:space="preserve">Does the UE </w:t>
      </w:r>
      <w:r w:rsidR="00F37552">
        <w:rPr>
          <w:rFonts w:ascii="Times New Roman" w:hAnsi="Times New Roman" w:cs="Times New Roman"/>
          <w:b/>
          <w:sz w:val="20"/>
          <w:szCs w:val="20"/>
          <w:lang w:eastAsia="fi-FI"/>
        </w:rPr>
        <w:t>operate on a symbol level</w:t>
      </w:r>
      <w:r w:rsidR="00ED73CD">
        <w:rPr>
          <w:rFonts w:ascii="Times New Roman" w:hAnsi="Times New Roman" w:cs="Times New Roman"/>
          <w:b/>
          <w:sz w:val="20"/>
          <w:szCs w:val="20"/>
          <w:lang w:eastAsia="fi-FI"/>
        </w:rPr>
        <w:t>,</w:t>
      </w:r>
      <w:r w:rsidR="00F37552">
        <w:rPr>
          <w:rFonts w:ascii="Times New Roman" w:hAnsi="Times New Roman" w:cs="Times New Roman"/>
          <w:b/>
          <w:sz w:val="20"/>
          <w:szCs w:val="20"/>
          <w:lang w:eastAsia="fi-FI"/>
        </w:rPr>
        <w:t xml:space="preserve"> slot level </w:t>
      </w:r>
      <w:r w:rsidR="00ED73CD">
        <w:rPr>
          <w:rFonts w:ascii="Times New Roman" w:hAnsi="Times New Roman" w:cs="Times New Roman"/>
          <w:b/>
          <w:sz w:val="20"/>
          <w:szCs w:val="20"/>
          <w:lang w:eastAsia="fi-FI"/>
        </w:rPr>
        <w:t xml:space="preserve">on some other level </w:t>
      </w:r>
      <w:r w:rsidR="00F37552">
        <w:rPr>
          <w:rFonts w:ascii="Times New Roman" w:hAnsi="Times New Roman" w:cs="Times New Roman"/>
          <w:b/>
          <w:sz w:val="20"/>
          <w:szCs w:val="20"/>
          <w:lang w:eastAsia="fi-FI"/>
        </w:rPr>
        <w:t>when evaluating whether or not to transmit</w:t>
      </w:r>
      <w:r w:rsidR="00F50FCB">
        <w:rPr>
          <w:rFonts w:ascii="Times New Roman" w:hAnsi="Times New Roman" w:cs="Times New Roman"/>
          <w:b/>
          <w:sz w:val="20"/>
          <w:szCs w:val="20"/>
          <w:lang w:eastAsia="fi-FI"/>
        </w:rPr>
        <w:t xml:space="preserve"> due to UL duty cycle </w:t>
      </w:r>
      <w:proofErr w:type="gramStart"/>
      <w:r w:rsidR="00F50FCB">
        <w:rPr>
          <w:rFonts w:ascii="Times New Roman" w:hAnsi="Times New Roman" w:cs="Times New Roman"/>
          <w:b/>
          <w:sz w:val="20"/>
          <w:szCs w:val="20"/>
          <w:lang w:eastAsia="fi-FI"/>
        </w:rPr>
        <w:t>limitation</w:t>
      </w:r>
      <w:proofErr w:type="gramEnd"/>
    </w:p>
    <w:p w14:paraId="2FF40417" w14:textId="4F7C213D" w:rsidR="00F37552" w:rsidRPr="00F37552" w:rsidRDefault="00F37552" w:rsidP="00F37552">
      <w:pPr>
        <w:spacing w:after="120"/>
        <w:ind w:left="360"/>
        <w:jc w:val="both"/>
        <w:rPr>
          <w:rFonts w:ascii="Times New Roman" w:hAnsi="Times New Roman" w:cs="Times New Roman"/>
          <w:b/>
          <w:sz w:val="20"/>
          <w:szCs w:val="20"/>
          <w:lang w:eastAsia="fi-FI"/>
        </w:rPr>
      </w:pPr>
      <w:r>
        <w:rPr>
          <w:rFonts w:ascii="Times New Roman" w:hAnsi="Times New Roman" w:cs="Times New Roman"/>
          <w:b/>
          <w:sz w:val="20"/>
          <w:szCs w:val="20"/>
          <w:lang w:eastAsia="fi-FI"/>
        </w:rPr>
        <w:t xml:space="preserve">And request RAN4 to further explain how the UL duty cycle limitation % does not affect the </w:t>
      </w:r>
      <w:proofErr w:type="spellStart"/>
      <w:r>
        <w:rPr>
          <w:rFonts w:ascii="Times New Roman" w:hAnsi="Times New Roman" w:cs="Times New Roman"/>
          <w:b/>
          <w:sz w:val="20"/>
          <w:szCs w:val="20"/>
          <w:lang w:eastAsia="fi-FI"/>
        </w:rPr>
        <w:t>gNB</w:t>
      </w:r>
      <w:proofErr w:type="spellEnd"/>
      <w:r>
        <w:rPr>
          <w:rFonts w:ascii="Times New Roman" w:hAnsi="Times New Roman" w:cs="Times New Roman"/>
          <w:b/>
          <w:sz w:val="20"/>
          <w:szCs w:val="20"/>
          <w:lang w:eastAsia="fi-FI"/>
        </w:rPr>
        <w:t xml:space="preserve"> scheduler</w:t>
      </w:r>
      <w:r w:rsidR="00ED73CD">
        <w:rPr>
          <w:rFonts w:ascii="Times New Roman" w:hAnsi="Times New Roman" w:cs="Times New Roman"/>
          <w:b/>
          <w:sz w:val="20"/>
          <w:szCs w:val="20"/>
          <w:lang w:eastAsia="fi-FI"/>
        </w:rPr>
        <w:t xml:space="preserve"> implementation</w:t>
      </w:r>
      <w:r>
        <w:rPr>
          <w:rFonts w:ascii="Times New Roman" w:hAnsi="Times New Roman" w:cs="Times New Roman"/>
          <w:b/>
          <w:sz w:val="20"/>
          <w:szCs w:val="20"/>
          <w:lang w:eastAsia="fi-FI"/>
        </w:rPr>
        <w:t xml:space="preserve"> and </w:t>
      </w:r>
      <w:r w:rsidR="00ED73CD">
        <w:rPr>
          <w:rFonts w:ascii="Times New Roman" w:hAnsi="Times New Roman" w:cs="Times New Roman"/>
          <w:b/>
          <w:sz w:val="20"/>
          <w:szCs w:val="20"/>
          <w:lang w:eastAsia="fi-FI"/>
        </w:rPr>
        <w:t>the way the uplink control channels need to be configured</w:t>
      </w:r>
    </w:p>
    <w:p w14:paraId="0D2B1151" w14:textId="77777777" w:rsidR="003C227B" w:rsidRPr="00A51522" w:rsidRDefault="003C227B" w:rsidP="000010D3">
      <w:pPr>
        <w:pStyle w:val="Heading1"/>
        <w:ind w:hanging="858"/>
      </w:pPr>
      <w:r w:rsidRPr="00A51522">
        <w:t xml:space="preserve">References </w:t>
      </w:r>
    </w:p>
    <w:p w14:paraId="6B2CCD16" w14:textId="2ABC21E8" w:rsidR="00742893" w:rsidRPr="005E69DB" w:rsidRDefault="006E61D1" w:rsidP="00742893">
      <w:pPr>
        <w:numPr>
          <w:ilvl w:val="0"/>
          <w:numId w:val="11"/>
        </w:numPr>
        <w:overflowPunct w:val="0"/>
        <w:autoSpaceDE w:val="0"/>
        <w:autoSpaceDN w:val="0"/>
        <w:adjustRightInd w:val="0"/>
        <w:spacing w:after="0" w:line="240" w:lineRule="auto"/>
        <w:textAlignment w:val="baseline"/>
        <w:rPr>
          <w:rFonts w:ascii="Times New Roman" w:hAnsi="Times New Roman" w:cs="Times New Roman"/>
          <w:sz w:val="20"/>
          <w:szCs w:val="20"/>
          <w:lang w:val="en-GB"/>
        </w:rPr>
      </w:pPr>
      <w:bookmarkStart w:id="6" w:name="_Ref534191929"/>
      <w:bookmarkStart w:id="7" w:name="_Ref521401214"/>
      <w:r w:rsidRPr="005E69DB">
        <w:rPr>
          <w:rFonts w:ascii="Times New Roman" w:hAnsi="Times New Roman" w:cs="Times New Roman"/>
          <w:sz w:val="20"/>
          <w:szCs w:val="20"/>
          <w:lang w:val="en-GB" w:eastAsia="zh-CN"/>
        </w:rPr>
        <w:t>R</w:t>
      </w:r>
      <w:r w:rsidR="004A6018" w:rsidRPr="005E69DB">
        <w:rPr>
          <w:rFonts w:ascii="Times New Roman" w:hAnsi="Times New Roman" w:cs="Times New Roman"/>
          <w:sz w:val="20"/>
          <w:szCs w:val="20"/>
          <w:lang w:val="en-GB" w:eastAsia="zh-CN"/>
        </w:rPr>
        <w:t>1</w:t>
      </w:r>
      <w:r w:rsidRPr="005E69DB">
        <w:rPr>
          <w:rFonts w:ascii="Times New Roman" w:hAnsi="Times New Roman" w:cs="Times New Roman"/>
          <w:sz w:val="20"/>
          <w:szCs w:val="20"/>
          <w:lang w:val="en-GB" w:eastAsia="zh-CN"/>
        </w:rPr>
        <w:t>-190</w:t>
      </w:r>
      <w:r w:rsidR="006C529B" w:rsidRPr="005E69DB">
        <w:rPr>
          <w:rFonts w:ascii="Times New Roman" w:hAnsi="Times New Roman" w:cs="Times New Roman"/>
          <w:sz w:val="20"/>
          <w:szCs w:val="20"/>
          <w:lang w:val="en-GB" w:eastAsia="zh-CN"/>
        </w:rPr>
        <w:t>4050</w:t>
      </w:r>
      <w:r w:rsidRPr="005E69DB">
        <w:rPr>
          <w:rFonts w:ascii="Times New Roman" w:hAnsi="Times New Roman" w:cs="Times New Roman"/>
          <w:sz w:val="20"/>
          <w:szCs w:val="20"/>
          <w:lang w:val="en-GB" w:eastAsia="zh-CN"/>
        </w:rPr>
        <w:t>, “LS on UE feature list for NR”, RAN4</w:t>
      </w:r>
    </w:p>
    <w:p w14:paraId="6B397403" w14:textId="0E6D9A60" w:rsidR="006E61D1" w:rsidRPr="005E69DB" w:rsidRDefault="006E61D1" w:rsidP="006E61D1">
      <w:pPr>
        <w:numPr>
          <w:ilvl w:val="0"/>
          <w:numId w:val="11"/>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5E69DB">
        <w:rPr>
          <w:rFonts w:ascii="Times New Roman" w:hAnsi="Times New Roman" w:cs="Times New Roman"/>
          <w:sz w:val="20"/>
          <w:szCs w:val="20"/>
        </w:rPr>
        <w:t>RP-190755, “WF on FR2 maximum UL duty cycle”, Nokia, Nokia Shanghai Bell</w:t>
      </w:r>
    </w:p>
    <w:p w14:paraId="1DC8073B" w14:textId="7BD81BFD" w:rsidR="00742893" w:rsidRPr="005E69DB" w:rsidRDefault="00742893" w:rsidP="006E61D1">
      <w:pPr>
        <w:numPr>
          <w:ilvl w:val="0"/>
          <w:numId w:val="11"/>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5E69DB">
        <w:rPr>
          <w:rFonts w:ascii="Times New Roman" w:hAnsi="Times New Roman" w:cs="Times New Roman"/>
          <w:sz w:val="20"/>
          <w:szCs w:val="20"/>
        </w:rPr>
        <w:t>RP-190704, “Update of RAN4 UE feature list for REL-15 NR”, NTT DOCOMO</w:t>
      </w:r>
    </w:p>
    <w:p w14:paraId="2008A986" w14:textId="40AFFA0C" w:rsidR="00C573EF" w:rsidRPr="005E69DB" w:rsidRDefault="00C573EF" w:rsidP="00340888">
      <w:pPr>
        <w:numPr>
          <w:ilvl w:val="0"/>
          <w:numId w:val="11"/>
        </w:numPr>
        <w:overflowPunct w:val="0"/>
        <w:autoSpaceDE w:val="0"/>
        <w:autoSpaceDN w:val="0"/>
        <w:adjustRightInd w:val="0"/>
        <w:spacing w:after="0" w:line="240" w:lineRule="auto"/>
        <w:textAlignment w:val="baseline"/>
        <w:rPr>
          <w:rFonts w:ascii="Times New Roman" w:hAnsi="Times New Roman" w:cs="Times New Roman"/>
          <w:sz w:val="20"/>
          <w:szCs w:val="20"/>
          <w:lang w:val="en-GB"/>
        </w:rPr>
      </w:pPr>
      <w:r w:rsidRPr="005E69DB">
        <w:rPr>
          <w:rFonts w:ascii="Times New Roman" w:hAnsi="Times New Roman" w:cs="Times New Roman"/>
          <w:sz w:val="20"/>
          <w:szCs w:val="20"/>
          <w:lang w:eastAsia="en-GB"/>
        </w:rPr>
        <w:t>R1-1903843</w:t>
      </w:r>
      <w:r w:rsidR="004C790B" w:rsidRPr="005E69DB">
        <w:rPr>
          <w:rFonts w:ascii="Times New Roman" w:hAnsi="Times New Roman" w:cs="Times New Roman"/>
          <w:sz w:val="20"/>
          <w:szCs w:val="20"/>
          <w:lang w:val="en-GB" w:eastAsia="zh-CN"/>
        </w:rPr>
        <w:t>, “</w:t>
      </w:r>
      <w:r w:rsidRPr="005E69DB">
        <w:rPr>
          <w:rFonts w:ascii="Times New Roman" w:hAnsi="Times New Roman" w:cs="Times New Roman"/>
          <w:sz w:val="20"/>
          <w:szCs w:val="20"/>
          <w:lang w:val="en-GB" w:eastAsia="zh-CN"/>
        </w:rPr>
        <w:t>LS on FR2 RF Exposure mitigation methods”, RAN4</w:t>
      </w:r>
    </w:p>
    <w:p w14:paraId="3A1887A2" w14:textId="214F91C2" w:rsidR="002B084D" w:rsidRPr="005E69DB" w:rsidRDefault="00ED73CD" w:rsidP="00340888">
      <w:pPr>
        <w:numPr>
          <w:ilvl w:val="0"/>
          <w:numId w:val="11"/>
        </w:numPr>
        <w:overflowPunct w:val="0"/>
        <w:autoSpaceDE w:val="0"/>
        <w:autoSpaceDN w:val="0"/>
        <w:adjustRightInd w:val="0"/>
        <w:spacing w:after="0" w:line="240" w:lineRule="auto"/>
        <w:textAlignment w:val="baseline"/>
        <w:rPr>
          <w:rFonts w:ascii="Times New Roman" w:hAnsi="Times New Roman" w:cs="Times New Roman"/>
          <w:sz w:val="20"/>
          <w:szCs w:val="20"/>
          <w:lang w:val="en-GB"/>
        </w:rPr>
      </w:pPr>
      <w:hyperlink r:id="rId14" w:history="1">
        <w:r w:rsidR="002B084D" w:rsidRPr="005E69DB">
          <w:rPr>
            <w:rStyle w:val="Hyperlink"/>
            <w:rFonts w:ascii="Times New Roman" w:hAnsi="Times New Roman" w:cs="Times New Roman"/>
            <w:sz w:val="20"/>
            <w:szCs w:val="20"/>
            <w:lang w:val="en-GB"/>
          </w:rPr>
          <w:t>draft RAN4#90 Meeting report v2</w:t>
        </w:r>
      </w:hyperlink>
    </w:p>
    <w:bookmarkEnd w:id="1"/>
    <w:bookmarkEnd w:id="6"/>
    <w:bookmarkEnd w:id="7"/>
    <w:p w14:paraId="0D2B119D" w14:textId="77777777" w:rsidR="007812BE" w:rsidRPr="00B2167F" w:rsidRDefault="007812BE" w:rsidP="00A13B3C">
      <w:pPr>
        <w:rPr>
          <w:rFonts w:ascii="Times New Roman" w:hAnsi="Times New Roman" w:cs="Times New Roman"/>
          <w:sz w:val="20"/>
          <w:szCs w:val="20"/>
        </w:rPr>
      </w:pPr>
    </w:p>
    <w:sectPr w:rsidR="007812BE" w:rsidRPr="00B2167F" w:rsidSect="00FC02E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8CB06" w14:textId="77777777" w:rsidR="00050CEF" w:rsidRDefault="00050CEF">
      <w:r>
        <w:separator/>
      </w:r>
    </w:p>
  </w:endnote>
  <w:endnote w:type="continuationSeparator" w:id="0">
    <w:p w14:paraId="645A86DA" w14:textId="77777777" w:rsidR="00050CEF" w:rsidRDefault="00050CEF">
      <w:r>
        <w:continuationSeparator/>
      </w:r>
    </w:p>
  </w:endnote>
  <w:endnote w:type="continuationNotice" w:id="1">
    <w:p w14:paraId="57BB21E7" w14:textId="77777777" w:rsidR="00050CEF" w:rsidRDefault="00050C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71278E" w:rsidRDefault="00712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71278E" w:rsidRDefault="007127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71278E" w:rsidRDefault="00712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5E3D0" w14:textId="77777777" w:rsidR="00050CEF" w:rsidRDefault="00050CEF">
      <w:r>
        <w:separator/>
      </w:r>
    </w:p>
  </w:footnote>
  <w:footnote w:type="continuationSeparator" w:id="0">
    <w:p w14:paraId="00F9D0D4" w14:textId="77777777" w:rsidR="00050CEF" w:rsidRDefault="00050CEF">
      <w:r>
        <w:continuationSeparator/>
      </w:r>
    </w:p>
  </w:footnote>
  <w:footnote w:type="continuationNotice" w:id="1">
    <w:p w14:paraId="76642019" w14:textId="77777777" w:rsidR="00050CEF" w:rsidRDefault="00050C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71278E" w:rsidRDefault="007127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71278E" w:rsidRDefault="00712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71278E" w:rsidRDefault="00712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5BA1"/>
    <w:multiLevelType w:val="hybridMultilevel"/>
    <w:tmpl w:val="171CE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85B4F"/>
    <w:multiLevelType w:val="hybridMultilevel"/>
    <w:tmpl w:val="E110DA44"/>
    <w:lvl w:ilvl="0" w:tplc="572A771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D15E8"/>
    <w:multiLevelType w:val="hybridMultilevel"/>
    <w:tmpl w:val="422E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B02ED"/>
    <w:multiLevelType w:val="hybridMultilevel"/>
    <w:tmpl w:val="BB44D34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1727507"/>
    <w:multiLevelType w:val="hybridMultilevel"/>
    <w:tmpl w:val="1BB6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99D5E29"/>
    <w:multiLevelType w:val="hybridMultilevel"/>
    <w:tmpl w:val="145E9804"/>
    <w:lvl w:ilvl="0" w:tplc="67CC713A">
      <w:start w:val="1"/>
      <w:numFmt w:val="bullet"/>
      <w:lvlText w:val="•"/>
      <w:lvlJc w:val="left"/>
      <w:pPr>
        <w:tabs>
          <w:tab w:val="num" w:pos="720"/>
        </w:tabs>
        <w:ind w:left="720" w:hanging="360"/>
      </w:pPr>
      <w:rPr>
        <w:rFonts w:ascii="Arial" w:hAnsi="Arial" w:hint="default"/>
      </w:rPr>
    </w:lvl>
    <w:lvl w:ilvl="1" w:tplc="5864833A">
      <w:start w:val="142"/>
      <w:numFmt w:val="bullet"/>
      <w:lvlText w:val="•"/>
      <w:lvlJc w:val="left"/>
      <w:pPr>
        <w:tabs>
          <w:tab w:val="num" w:pos="1440"/>
        </w:tabs>
        <w:ind w:left="1440" w:hanging="360"/>
      </w:pPr>
      <w:rPr>
        <w:rFonts w:ascii="Arial" w:hAnsi="Arial" w:hint="default"/>
      </w:rPr>
    </w:lvl>
    <w:lvl w:ilvl="2" w:tplc="C4EE5668" w:tentative="1">
      <w:start w:val="1"/>
      <w:numFmt w:val="bullet"/>
      <w:lvlText w:val="•"/>
      <w:lvlJc w:val="left"/>
      <w:pPr>
        <w:tabs>
          <w:tab w:val="num" w:pos="2160"/>
        </w:tabs>
        <w:ind w:left="2160" w:hanging="360"/>
      </w:pPr>
      <w:rPr>
        <w:rFonts w:ascii="Arial" w:hAnsi="Arial" w:hint="default"/>
      </w:rPr>
    </w:lvl>
    <w:lvl w:ilvl="3" w:tplc="503C714A" w:tentative="1">
      <w:start w:val="1"/>
      <w:numFmt w:val="bullet"/>
      <w:lvlText w:val="•"/>
      <w:lvlJc w:val="left"/>
      <w:pPr>
        <w:tabs>
          <w:tab w:val="num" w:pos="2880"/>
        </w:tabs>
        <w:ind w:left="2880" w:hanging="360"/>
      </w:pPr>
      <w:rPr>
        <w:rFonts w:ascii="Arial" w:hAnsi="Arial" w:hint="default"/>
      </w:rPr>
    </w:lvl>
    <w:lvl w:ilvl="4" w:tplc="9D682674" w:tentative="1">
      <w:start w:val="1"/>
      <w:numFmt w:val="bullet"/>
      <w:lvlText w:val="•"/>
      <w:lvlJc w:val="left"/>
      <w:pPr>
        <w:tabs>
          <w:tab w:val="num" w:pos="3600"/>
        </w:tabs>
        <w:ind w:left="3600" w:hanging="360"/>
      </w:pPr>
      <w:rPr>
        <w:rFonts w:ascii="Arial" w:hAnsi="Arial" w:hint="default"/>
      </w:rPr>
    </w:lvl>
    <w:lvl w:ilvl="5" w:tplc="B7CEFC2C" w:tentative="1">
      <w:start w:val="1"/>
      <w:numFmt w:val="bullet"/>
      <w:lvlText w:val="•"/>
      <w:lvlJc w:val="left"/>
      <w:pPr>
        <w:tabs>
          <w:tab w:val="num" w:pos="4320"/>
        </w:tabs>
        <w:ind w:left="4320" w:hanging="360"/>
      </w:pPr>
      <w:rPr>
        <w:rFonts w:ascii="Arial" w:hAnsi="Arial" w:hint="default"/>
      </w:rPr>
    </w:lvl>
    <w:lvl w:ilvl="6" w:tplc="B338FB16" w:tentative="1">
      <w:start w:val="1"/>
      <w:numFmt w:val="bullet"/>
      <w:lvlText w:val="•"/>
      <w:lvlJc w:val="left"/>
      <w:pPr>
        <w:tabs>
          <w:tab w:val="num" w:pos="5040"/>
        </w:tabs>
        <w:ind w:left="5040" w:hanging="360"/>
      </w:pPr>
      <w:rPr>
        <w:rFonts w:ascii="Arial" w:hAnsi="Arial" w:hint="default"/>
      </w:rPr>
    </w:lvl>
    <w:lvl w:ilvl="7" w:tplc="3E5A54CA" w:tentative="1">
      <w:start w:val="1"/>
      <w:numFmt w:val="bullet"/>
      <w:lvlText w:val="•"/>
      <w:lvlJc w:val="left"/>
      <w:pPr>
        <w:tabs>
          <w:tab w:val="num" w:pos="5760"/>
        </w:tabs>
        <w:ind w:left="5760" w:hanging="360"/>
      </w:pPr>
      <w:rPr>
        <w:rFonts w:ascii="Arial" w:hAnsi="Arial" w:hint="default"/>
      </w:rPr>
    </w:lvl>
    <w:lvl w:ilvl="8" w:tplc="43903B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CA477F0"/>
    <w:multiLevelType w:val="hybridMultilevel"/>
    <w:tmpl w:val="BC5A5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1D5A4A0E"/>
    <w:multiLevelType w:val="hybridMultilevel"/>
    <w:tmpl w:val="5BF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AB7337"/>
    <w:multiLevelType w:val="multilevel"/>
    <w:tmpl w:val="9DBCCC40"/>
    <w:lvl w:ilvl="0">
      <w:start w:val="1"/>
      <w:numFmt w:val="decimal"/>
      <w:pStyle w:val="Heading1"/>
      <w:lvlText w:val="%1"/>
      <w:lvlJc w:val="left"/>
      <w:pPr>
        <w:ind w:left="858"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AC6286F"/>
    <w:multiLevelType w:val="hybridMultilevel"/>
    <w:tmpl w:val="A7FE6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E5D7D"/>
    <w:multiLevelType w:val="hybridMultilevel"/>
    <w:tmpl w:val="9758914A"/>
    <w:lvl w:ilvl="0" w:tplc="E85C99F4">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7B6959"/>
    <w:multiLevelType w:val="hybridMultilevel"/>
    <w:tmpl w:val="90F2F6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45E380A"/>
    <w:multiLevelType w:val="hybridMultilevel"/>
    <w:tmpl w:val="B748F1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216884"/>
    <w:multiLevelType w:val="hybridMultilevel"/>
    <w:tmpl w:val="BD38BFB4"/>
    <w:lvl w:ilvl="0" w:tplc="DADEF21C">
      <w:start w:val="1"/>
      <w:numFmt w:val="bullet"/>
      <w:lvlText w:val="•"/>
      <w:lvlJc w:val="left"/>
      <w:pPr>
        <w:tabs>
          <w:tab w:val="num" w:pos="720"/>
        </w:tabs>
        <w:ind w:left="720" w:hanging="360"/>
      </w:pPr>
      <w:rPr>
        <w:rFonts w:ascii="Arial" w:hAnsi="Arial" w:hint="default"/>
      </w:rPr>
    </w:lvl>
    <w:lvl w:ilvl="1" w:tplc="C01EDEF0">
      <w:start w:val="1"/>
      <w:numFmt w:val="bullet"/>
      <w:lvlText w:val="•"/>
      <w:lvlJc w:val="left"/>
      <w:pPr>
        <w:tabs>
          <w:tab w:val="num" w:pos="1440"/>
        </w:tabs>
        <w:ind w:left="1440" w:hanging="360"/>
      </w:pPr>
      <w:rPr>
        <w:rFonts w:ascii="Arial" w:hAnsi="Arial" w:hint="default"/>
      </w:rPr>
    </w:lvl>
    <w:lvl w:ilvl="2" w:tplc="32184448">
      <w:start w:val="57"/>
      <w:numFmt w:val="bullet"/>
      <w:lvlText w:val="•"/>
      <w:lvlJc w:val="left"/>
      <w:pPr>
        <w:tabs>
          <w:tab w:val="num" w:pos="2160"/>
        </w:tabs>
        <w:ind w:left="2160" w:hanging="360"/>
      </w:pPr>
      <w:rPr>
        <w:rFonts w:ascii="Arial" w:hAnsi="Arial" w:hint="default"/>
      </w:rPr>
    </w:lvl>
    <w:lvl w:ilvl="3" w:tplc="E1565986" w:tentative="1">
      <w:start w:val="1"/>
      <w:numFmt w:val="bullet"/>
      <w:lvlText w:val="•"/>
      <w:lvlJc w:val="left"/>
      <w:pPr>
        <w:tabs>
          <w:tab w:val="num" w:pos="2880"/>
        </w:tabs>
        <w:ind w:left="2880" w:hanging="360"/>
      </w:pPr>
      <w:rPr>
        <w:rFonts w:ascii="Arial" w:hAnsi="Arial" w:hint="default"/>
      </w:rPr>
    </w:lvl>
    <w:lvl w:ilvl="4" w:tplc="DCAE997C" w:tentative="1">
      <w:start w:val="1"/>
      <w:numFmt w:val="bullet"/>
      <w:lvlText w:val="•"/>
      <w:lvlJc w:val="left"/>
      <w:pPr>
        <w:tabs>
          <w:tab w:val="num" w:pos="3600"/>
        </w:tabs>
        <w:ind w:left="3600" w:hanging="360"/>
      </w:pPr>
      <w:rPr>
        <w:rFonts w:ascii="Arial" w:hAnsi="Arial" w:hint="default"/>
      </w:rPr>
    </w:lvl>
    <w:lvl w:ilvl="5" w:tplc="AB021BF2" w:tentative="1">
      <w:start w:val="1"/>
      <w:numFmt w:val="bullet"/>
      <w:lvlText w:val="•"/>
      <w:lvlJc w:val="left"/>
      <w:pPr>
        <w:tabs>
          <w:tab w:val="num" w:pos="4320"/>
        </w:tabs>
        <w:ind w:left="4320" w:hanging="360"/>
      </w:pPr>
      <w:rPr>
        <w:rFonts w:ascii="Arial" w:hAnsi="Arial" w:hint="default"/>
      </w:rPr>
    </w:lvl>
    <w:lvl w:ilvl="6" w:tplc="8C6A4FD0" w:tentative="1">
      <w:start w:val="1"/>
      <w:numFmt w:val="bullet"/>
      <w:lvlText w:val="•"/>
      <w:lvlJc w:val="left"/>
      <w:pPr>
        <w:tabs>
          <w:tab w:val="num" w:pos="5040"/>
        </w:tabs>
        <w:ind w:left="5040" w:hanging="360"/>
      </w:pPr>
      <w:rPr>
        <w:rFonts w:ascii="Arial" w:hAnsi="Arial" w:hint="default"/>
      </w:rPr>
    </w:lvl>
    <w:lvl w:ilvl="7" w:tplc="467EDA12" w:tentative="1">
      <w:start w:val="1"/>
      <w:numFmt w:val="bullet"/>
      <w:lvlText w:val="•"/>
      <w:lvlJc w:val="left"/>
      <w:pPr>
        <w:tabs>
          <w:tab w:val="num" w:pos="5760"/>
        </w:tabs>
        <w:ind w:left="5760" w:hanging="360"/>
      </w:pPr>
      <w:rPr>
        <w:rFonts w:ascii="Arial" w:hAnsi="Arial" w:hint="default"/>
      </w:rPr>
    </w:lvl>
    <w:lvl w:ilvl="8" w:tplc="7FF42F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9537577"/>
    <w:multiLevelType w:val="hybridMultilevel"/>
    <w:tmpl w:val="51C8F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6" w15:restartNumberingAfterBreak="0">
    <w:nsid w:val="3BAC0506"/>
    <w:multiLevelType w:val="hybridMultilevel"/>
    <w:tmpl w:val="6A5A6C9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7"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213D7B"/>
    <w:multiLevelType w:val="hybridMultilevel"/>
    <w:tmpl w:val="AFFE2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32"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6" w15:restartNumberingAfterBreak="0">
    <w:nsid w:val="54352EDA"/>
    <w:multiLevelType w:val="multilevel"/>
    <w:tmpl w:val="54352E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5A63E3"/>
    <w:multiLevelType w:val="hybridMultilevel"/>
    <w:tmpl w:val="C28869BA"/>
    <w:lvl w:ilvl="0" w:tplc="04090001">
      <w:start w:val="1"/>
      <w:numFmt w:val="bullet"/>
      <w:lvlText w:val=""/>
      <w:lvlJc w:val="left"/>
      <w:pPr>
        <w:ind w:left="1555" w:hanging="360"/>
      </w:pPr>
      <w:rPr>
        <w:rFonts w:ascii="Symbol" w:hAnsi="Symbol"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38"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0B9693D"/>
    <w:multiLevelType w:val="multilevel"/>
    <w:tmpl w:val="0A16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FB67650"/>
    <w:multiLevelType w:val="hybridMultilevel"/>
    <w:tmpl w:val="58762B9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6"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47D203E"/>
    <w:multiLevelType w:val="hybridMultilevel"/>
    <w:tmpl w:val="B27E1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C1274C"/>
    <w:multiLevelType w:val="hybridMultilevel"/>
    <w:tmpl w:val="DB4A2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ED5DA9"/>
    <w:multiLevelType w:val="hybridMultilevel"/>
    <w:tmpl w:val="E384F3C2"/>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50"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7F4809"/>
    <w:multiLevelType w:val="multilevel"/>
    <w:tmpl w:val="768A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35"/>
  </w:num>
  <w:num w:numId="3">
    <w:abstractNumId w:val="15"/>
  </w:num>
  <w:num w:numId="4">
    <w:abstractNumId w:val="30"/>
  </w:num>
  <w:num w:numId="5">
    <w:abstractNumId w:val="6"/>
  </w:num>
  <w:num w:numId="6">
    <w:abstractNumId w:val="10"/>
  </w:num>
  <w:num w:numId="7">
    <w:abstractNumId w:val="8"/>
  </w:num>
  <w:num w:numId="8">
    <w:abstractNumId w:val="50"/>
  </w:num>
  <w:num w:numId="9">
    <w:abstractNumId w:val="18"/>
  </w:num>
  <w:num w:numId="10">
    <w:abstractNumId w:val="27"/>
  </w:num>
  <w:num w:numId="11">
    <w:abstractNumId w:val="23"/>
  </w:num>
  <w:num w:numId="12">
    <w:abstractNumId w:val="17"/>
  </w:num>
  <w:num w:numId="13">
    <w:abstractNumId w:val="26"/>
  </w:num>
  <w:num w:numId="14">
    <w:abstractNumId w:val="46"/>
  </w:num>
  <w:num w:numId="15">
    <w:abstractNumId w:val="38"/>
  </w:num>
  <w:num w:numId="16">
    <w:abstractNumId w:val="4"/>
  </w:num>
  <w:num w:numId="17">
    <w:abstractNumId w:val="41"/>
  </w:num>
  <w:num w:numId="18">
    <w:abstractNumId w:val="24"/>
  </w:num>
  <w:num w:numId="19">
    <w:abstractNumId w:val="40"/>
  </w:num>
  <w:num w:numId="20">
    <w:abstractNumId w:val="52"/>
  </w:num>
  <w:num w:numId="21">
    <w:abstractNumId w:val="2"/>
  </w:num>
  <w:num w:numId="22">
    <w:abstractNumId w:val="37"/>
  </w:num>
  <w:num w:numId="23">
    <w:abstractNumId w:val="42"/>
  </w:num>
  <w:num w:numId="24">
    <w:abstractNumId w:val="32"/>
  </w:num>
  <w:num w:numId="25">
    <w:abstractNumId w:val="25"/>
  </w:num>
  <w:num w:numId="26">
    <w:abstractNumId w:val="51"/>
  </w:num>
  <w:num w:numId="27">
    <w:abstractNumId w:val="19"/>
  </w:num>
  <w:num w:numId="28">
    <w:abstractNumId w:val="22"/>
  </w:num>
  <w:num w:numId="29">
    <w:abstractNumId w:val="11"/>
  </w:num>
  <w:num w:numId="30">
    <w:abstractNumId w:val="28"/>
  </w:num>
  <w:num w:numId="31">
    <w:abstractNumId w:val="45"/>
  </w:num>
  <w:num w:numId="32">
    <w:abstractNumId w:val="12"/>
  </w:num>
  <w:num w:numId="33">
    <w:abstractNumId w:val="7"/>
  </w:num>
  <w:num w:numId="34">
    <w:abstractNumId w:val="20"/>
  </w:num>
  <w:num w:numId="35">
    <w:abstractNumId w:val="29"/>
  </w:num>
  <w:num w:numId="36">
    <w:abstractNumId w:val="34"/>
  </w:num>
  <w:num w:numId="37">
    <w:abstractNumId w:val="3"/>
  </w:num>
  <w:num w:numId="38">
    <w:abstractNumId w:val="49"/>
  </w:num>
  <w:num w:numId="39">
    <w:abstractNumId w:val="16"/>
  </w:num>
  <w:num w:numId="40">
    <w:abstractNumId w:val="0"/>
  </w:num>
  <w:num w:numId="41">
    <w:abstractNumId w:val="33"/>
  </w:num>
  <w:num w:numId="42">
    <w:abstractNumId w:val="39"/>
  </w:num>
  <w:num w:numId="43">
    <w:abstractNumId w:val="43"/>
  </w:num>
  <w:num w:numId="44">
    <w:abstractNumId w:val="36"/>
  </w:num>
  <w:num w:numId="45">
    <w:abstractNumId w:val="43"/>
  </w:num>
  <w:num w:numId="46">
    <w:abstractNumId w:val="36"/>
  </w:num>
  <w:num w:numId="47">
    <w:abstractNumId w:val="5"/>
  </w:num>
  <w:num w:numId="48">
    <w:abstractNumId w:val="13"/>
  </w:num>
  <w:num w:numId="49">
    <w:abstractNumId w:val="47"/>
  </w:num>
  <w:num w:numId="50">
    <w:abstractNumId w:val="31"/>
  </w:num>
  <w:num w:numId="51">
    <w:abstractNumId w:val="44"/>
  </w:num>
  <w:num w:numId="52">
    <w:abstractNumId w:val="9"/>
  </w:num>
  <w:num w:numId="53">
    <w:abstractNumId w:val="48"/>
  </w:num>
  <w:num w:numId="54">
    <w:abstractNumId w:val="21"/>
  </w:num>
  <w:num w:numId="55">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8D"/>
    <w:rsid w:val="00000CE7"/>
    <w:rsid w:val="00000ED8"/>
    <w:rsid w:val="000010D3"/>
    <w:rsid w:val="0000141D"/>
    <w:rsid w:val="000023A6"/>
    <w:rsid w:val="00002741"/>
    <w:rsid w:val="00002DEC"/>
    <w:rsid w:val="000032D6"/>
    <w:rsid w:val="000033ED"/>
    <w:rsid w:val="00003811"/>
    <w:rsid w:val="00003F15"/>
    <w:rsid w:val="00006BB1"/>
    <w:rsid w:val="00006DE9"/>
    <w:rsid w:val="000074C4"/>
    <w:rsid w:val="00007BE8"/>
    <w:rsid w:val="0001010B"/>
    <w:rsid w:val="00010974"/>
    <w:rsid w:val="000109A5"/>
    <w:rsid w:val="00011360"/>
    <w:rsid w:val="0001170C"/>
    <w:rsid w:val="00011766"/>
    <w:rsid w:val="00011C5F"/>
    <w:rsid w:val="00011DB3"/>
    <w:rsid w:val="0001245C"/>
    <w:rsid w:val="00012A11"/>
    <w:rsid w:val="00013001"/>
    <w:rsid w:val="00013369"/>
    <w:rsid w:val="00013DBB"/>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7FB"/>
    <w:rsid w:val="000428D4"/>
    <w:rsid w:val="000438B8"/>
    <w:rsid w:val="00043CB2"/>
    <w:rsid w:val="00043DDC"/>
    <w:rsid w:val="00044229"/>
    <w:rsid w:val="00044BA6"/>
    <w:rsid w:val="00044EE5"/>
    <w:rsid w:val="000452CB"/>
    <w:rsid w:val="00045A94"/>
    <w:rsid w:val="00045C62"/>
    <w:rsid w:val="00046A1B"/>
    <w:rsid w:val="00046C59"/>
    <w:rsid w:val="00047509"/>
    <w:rsid w:val="00047760"/>
    <w:rsid w:val="00047AD5"/>
    <w:rsid w:val="00047E2C"/>
    <w:rsid w:val="0005018D"/>
    <w:rsid w:val="000502B8"/>
    <w:rsid w:val="00050C10"/>
    <w:rsid w:val="00050CEF"/>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6EB7"/>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EE4"/>
    <w:rsid w:val="00065FCB"/>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5A6"/>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1E47"/>
    <w:rsid w:val="0008247E"/>
    <w:rsid w:val="00082ACB"/>
    <w:rsid w:val="00082CDA"/>
    <w:rsid w:val="00082E72"/>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2CF"/>
    <w:rsid w:val="00091314"/>
    <w:rsid w:val="000914AB"/>
    <w:rsid w:val="00091734"/>
    <w:rsid w:val="000932E8"/>
    <w:rsid w:val="000933D6"/>
    <w:rsid w:val="00093520"/>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9DB"/>
    <w:rsid w:val="000A2D56"/>
    <w:rsid w:val="000A356B"/>
    <w:rsid w:val="000A3572"/>
    <w:rsid w:val="000A3D29"/>
    <w:rsid w:val="000A4163"/>
    <w:rsid w:val="000A44F8"/>
    <w:rsid w:val="000A46A6"/>
    <w:rsid w:val="000A47E2"/>
    <w:rsid w:val="000A4945"/>
    <w:rsid w:val="000A4948"/>
    <w:rsid w:val="000A4AF8"/>
    <w:rsid w:val="000A4B03"/>
    <w:rsid w:val="000A4D7C"/>
    <w:rsid w:val="000A4F5D"/>
    <w:rsid w:val="000A5721"/>
    <w:rsid w:val="000A5A08"/>
    <w:rsid w:val="000A609E"/>
    <w:rsid w:val="000A6A09"/>
    <w:rsid w:val="000A6AA7"/>
    <w:rsid w:val="000A6CC2"/>
    <w:rsid w:val="000A6CEE"/>
    <w:rsid w:val="000A79F5"/>
    <w:rsid w:val="000A7BE0"/>
    <w:rsid w:val="000B0141"/>
    <w:rsid w:val="000B0884"/>
    <w:rsid w:val="000B0FC4"/>
    <w:rsid w:val="000B12A0"/>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13E"/>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72FB"/>
    <w:rsid w:val="000E73EA"/>
    <w:rsid w:val="000E7633"/>
    <w:rsid w:val="000E7D56"/>
    <w:rsid w:val="000E7EF5"/>
    <w:rsid w:val="000F0670"/>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5B8"/>
    <w:rsid w:val="000F5F08"/>
    <w:rsid w:val="000F6637"/>
    <w:rsid w:val="000F6948"/>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128"/>
    <w:rsid w:val="0011035C"/>
    <w:rsid w:val="00110488"/>
    <w:rsid w:val="0011093B"/>
    <w:rsid w:val="00110C17"/>
    <w:rsid w:val="00111313"/>
    <w:rsid w:val="00111431"/>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3F1"/>
    <w:rsid w:val="001240E1"/>
    <w:rsid w:val="001243CE"/>
    <w:rsid w:val="00124D55"/>
    <w:rsid w:val="001254DE"/>
    <w:rsid w:val="00125DEF"/>
    <w:rsid w:val="0012673F"/>
    <w:rsid w:val="00126F1D"/>
    <w:rsid w:val="0012781D"/>
    <w:rsid w:val="0013047E"/>
    <w:rsid w:val="00130B39"/>
    <w:rsid w:val="00130BE1"/>
    <w:rsid w:val="00131295"/>
    <w:rsid w:val="001313AE"/>
    <w:rsid w:val="00131819"/>
    <w:rsid w:val="001318E7"/>
    <w:rsid w:val="00131F8B"/>
    <w:rsid w:val="001321CD"/>
    <w:rsid w:val="00132744"/>
    <w:rsid w:val="00133784"/>
    <w:rsid w:val="00133AC7"/>
    <w:rsid w:val="0013470B"/>
    <w:rsid w:val="00135A7F"/>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EED"/>
    <w:rsid w:val="00153033"/>
    <w:rsid w:val="001532D8"/>
    <w:rsid w:val="00153463"/>
    <w:rsid w:val="00153AC8"/>
    <w:rsid w:val="00153D59"/>
    <w:rsid w:val="00153D9C"/>
    <w:rsid w:val="00153E9C"/>
    <w:rsid w:val="0015441E"/>
    <w:rsid w:val="00154E83"/>
    <w:rsid w:val="00155072"/>
    <w:rsid w:val="00156F8B"/>
    <w:rsid w:val="0015709E"/>
    <w:rsid w:val="00157B1D"/>
    <w:rsid w:val="00157B40"/>
    <w:rsid w:val="001600F0"/>
    <w:rsid w:val="001601AE"/>
    <w:rsid w:val="00160601"/>
    <w:rsid w:val="00160674"/>
    <w:rsid w:val="001612C1"/>
    <w:rsid w:val="001613B2"/>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921"/>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649"/>
    <w:rsid w:val="001837D7"/>
    <w:rsid w:val="00183937"/>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683"/>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2FA"/>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2AC"/>
    <w:rsid w:val="001D4D09"/>
    <w:rsid w:val="001D5347"/>
    <w:rsid w:val="001D5722"/>
    <w:rsid w:val="001D586E"/>
    <w:rsid w:val="001D6019"/>
    <w:rsid w:val="001D6678"/>
    <w:rsid w:val="001E065E"/>
    <w:rsid w:val="001E0A37"/>
    <w:rsid w:val="001E1050"/>
    <w:rsid w:val="001E1498"/>
    <w:rsid w:val="001E19F9"/>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5F0"/>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1F65C3"/>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A0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491"/>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E6"/>
    <w:rsid w:val="002312F4"/>
    <w:rsid w:val="00231551"/>
    <w:rsid w:val="002317B9"/>
    <w:rsid w:val="00231B3C"/>
    <w:rsid w:val="00231D04"/>
    <w:rsid w:val="00231FC7"/>
    <w:rsid w:val="00232B2F"/>
    <w:rsid w:val="00232F68"/>
    <w:rsid w:val="0023325B"/>
    <w:rsid w:val="002342C8"/>
    <w:rsid w:val="0023440D"/>
    <w:rsid w:val="00234B37"/>
    <w:rsid w:val="00235B2B"/>
    <w:rsid w:val="00235B77"/>
    <w:rsid w:val="00235D27"/>
    <w:rsid w:val="0023628A"/>
    <w:rsid w:val="00236306"/>
    <w:rsid w:val="00236760"/>
    <w:rsid w:val="00236A8B"/>
    <w:rsid w:val="00236C20"/>
    <w:rsid w:val="00240495"/>
    <w:rsid w:val="00240A6A"/>
    <w:rsid w:val="00240D03"/>
    <w:rsid w:val="00241568"/>
    <w:rsid w:val="00241614"/>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B03"/>
    <w:rsid w:val="00247DEE"/>
    <w:rsid w:val="00250D4C"/>
    <w:rsid w:val="00250E1A"/>
    <w:rsid w:val="002524C9"/>
    <w:rsid w:val="00252AA0"/>
    <w:rsid w:val="00252C17"/>
    <w:rsid w:val="00252C5D"/>
    <w:rsid w:val="0025303A"/>
    <w:rsid w:val="002532E9"/>
    <w:rsid w:val="0025356C"/>
    <w:rsid w:val="0025362E"/>
    <w:rsid w:val="00253F80"/>
    <w:rsid w:val="00254706"/>
    <w:rsid w:val="0025476E"/>
    <w:rsid w:val="00255534"/>
    <w:rsid w:val="00256C14"/>
    <w:rsid w:val="0025735C"/>
    <w:rsid w:val="0025742D"/>
    <w:rsid w:val="00257D8F"/>
    <w:rsid w:val="00257DCA"/>
    <w:rsid w:val="002600E1"/>
    <w:rsid w:val="002606F9"/>
    <w:rsid w:val="00260C1E"/>
    <w:rsid w:val="002612FE"/>
    <w:rsid w:val="00261AED"/>
    <w:rsid w:val="002621BC"/>
    <w:rsid w:val="0026222F"/>
    <w:rsid w:val="00262AB8"/>
    <w:rsid w:val="002634B5"/>
    <w:rsid w:val="002635BC"/>
    <w:rsid w:val="00265310"/>
    <w:rsid w:val="00265C44"/>
    <w:rsid w:val="00266A94"/>
    <w:rsid w:val="00266F6D"/>
    <w:rsid w:val="002675CB"/>
    <w:rsid w:val="002678A0"/>
    <w:rsid w:val="002702C8"/>
    <w:rsid w:val="00270901"/>
    <w:rsid w:val="00270CD2"/>
    <w:rsid w:val="00270D17"/>
    <w:rsid w:val="0027114C"/>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24D"/>
    <w:rsid w:val="00287F64"/>
    <w:rsid w:val="00290249"/>
    <w:rsid w:val="00291165"/>
    <w:rsid w:val="002912A3"/>
    <w:rsid w:val="002914AA"/>
    <w:rsid w:val="00291942"/>
    <w:rsid w:val="002920A9"/>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84D"/>
    <w:rsid w:val="002B0A8F"/>
    <w:rsid w:val="002B0C16"/>
    <w:rsid w:val="002B0C38"/>
    <w:rsid w:val="002B132E"/>
    <w:rsid w:val="002B1560"/>
    <w:rsid w:val="002B21CE"/>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47"/>
    <w:rsid w:val="002C139E"/>
    <w:rsid w:val="002C180A"/>
    <w:rsid w:val="002C2169"/>
    <w:rsid w:val="002C29F5"/>
    <w:rsid w:val="002C2D0A"/>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4A8"/>
    <w:rsid w:val="002F1746"/>
    <w:rsid w:val="002F18A9"/>
    <w:rsid w:val="002F1E06"/>
    <w:rsid w:val="002F232D"/>
    <w:rsid w:val="002F37E3"/>
    <w:rsid w:val="002F3CD5"/>
    <w:rsid w:val="002F4320"/>
    <w:rsid w:val="002F49A3"/>
    <w:rsid w:val="002F4CB1"/>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07F68"/>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51C8"/>
    <w:rsid w:val="003163BD"/>
    <w:rsid w:val="00316913"/>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292"/>
    <w:rsid w:val="003344D2"/>
    <w:rsid w:val="00335235"/>
    <w:rsid w:val="0033591E"/>
    <w:rsid w:val="00335B31"/>
    <w:rsid w:val="00335C2D"/>
    <w:rsid w:val="00336E29"/>
    <w:rsid w:val="0033738F"/>
    <w:rsid w:val="00340134"/>
    <w:rsid w:val="003402AE"/>
    <w:rsid w:val="00340887"/>
    <w:rsid w:val="00340888"/>
    <w:rsid w:val="00340968"/>
    <w:rsid w:val="00340ECA"/>
    <w:rsid w:val="0034111C"/>
    <w:rsid w:val="0034118B"/>
    <w:rsid w:val="003415DC"/>
    <w:rsid w:val="00341B23"/>
    <w:rsid w:val="00341C27"/>
    <w:rsid w:val="003420BB"/>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06"/>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0A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2F06"/>
    <w:rsid w:val="00383F09"/>
    <w:rsid w:val="003840EA"/>
    <w:rsid w:val="00384129"/>
    <w:rsid w:val="003848E2"/>
    <w:rsid w:val="00384C6A"/>
    <w:rsid w:val="003860C3"/>
    <w:rsid w:val="00386137"/>
    <w:rsid w:val="003861AA"/>
    <w:rsid w:val="00386264"/>
    <w:rsid w:val="0038700B"/>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35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694"/>
    <w:rsid w:val="003D28A5"/>
    <w:rsid w:val="003D28B1"/>
    <w:rsid w:val="003D2BC1"/>
    <w:rsid w:val="003D2EB2"/>
    <w:rsid w:val="003D3052"/>
    <w:rsid w:val="003D3297"/>
    <w:rsid w:val="003D38C8"/>
    <w:rsid w:val="003D3BB3"/>
    <w:rsid w:val="003D402B"/>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079C"/>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3AE"/>
    <w:rsid w:val="004109C7"/>
    <w:rsid w:val="00410BD5"/>
    <w:rsid w:val="00412590"/>
    <w:rsid w:val="00412791"/>
    <w:rsid w:val="004128A5"/>
    <w:rsid w:val="00412D14"/>
    <w:rsid w:val="00412F13"/>
    <w:rsid w:val="004130D6"/>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6E3"/>
    <w:rsid w:val="0042697B"/>
    <w:rsid w:val="00426DA6"/>
    <w:rsid w:val="0042725C"/>
    <w:rsid w:val="0042732D"/>
    <w:rsid w:val="004276F1"/>
    <w:rsid w:val="00427BEF"/>
    <w:rsid w:val="00430158"/>
    <w:rsid w:val="004309F7"/>
    <w:rsid w:val="00430D56"/>
    <w:rsid w:val="0043202F"/>
    <w:rsid w:val="00432110"/>
    <w:rsid w:val="00432A2F"/>
    <w:rsid w:val="00433506"/>
    <w:rsid w:val="00433730"/>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0F7"/>
    <w:rsid w:val="00454106"/>
    <w:rsid w:val="00454C64"/>
    <w:rsid w:val="00454C6B"/>
    <w:rsid w:val="00454D1F"/>
    <w:rsid w:val="0045590E"/>
    <w:rsid w:val="00455A78"/>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283A"/>
    <w:rsid w:val="00482AE6"/>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248"/>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018"/>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2135"/>
    <w:rsid w:val="004C34B8"/>
    <w:rsid w:val="004C3A83"/>
    <w:rsid w:val="004C3ED6"/>
    <w:rsid w:val="004C4017"/>
    <w:rsid w:val="004C4B8F"/>
    <w:rsid w:val="004C4F58"/>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1F76"/>
    <w:rsid w:val="004F2744"/>
    <w:rsid w:val="004F2840"/>
    <w:rsid w:val="004F2BBB"/>
    <w:rsid w:val="004F2C55"/>
    <w:rsid w:val="004F35A9"/>
    <w:rsid w:val="004F3792"/>
    <w:rsid w:val="004F3B51"/>
    <w:rsid w:val="004F3D5D"/>
    <w:rsid w:val="004F434C"/>
    <w:rsid w:val="004F43EA"/>
    <w:rsid w:val="004F48B8"/>
    <w:rsid w:val="004F4971"/>
    <w:rsid w:val="004F5835"/>
    <w:rsid w:val="004F5CB4"/>
    <w:rsid w:val="004F6291"/>
    <w:rsid w:val="004F6D60"/>
    <w:rsid w:val="004F6D6D"/>
    <w:rsid w:val="004F75CE"/>
    <w:rsid w:val="004F7B4B"/>
    <w:rsid w:val="00500684"/>
    <w:rsid w:val="0050071D"/>
    <w:rsid w:val="00501171"/>
    <w:rsid w:val="00501857"/>
    <w:rsid w:val="00501CBA"/>
    <w:rsid w:val="005021E2"/>
    <w:rsid w:val="00502550"/>
    <w:rsid w:val="00502924"/>
    <w:rsid w:val="00502A20"/>
    <w:rsid w:val="00502A5B"/>
    <w:rsid w:val="00502BCD"/>
    <w:rsid w:val="005039D8"/>
    <w:rsid w:val="00504083"/>
    <w:rsid w:val="00504CE4"/>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20154"/>
    <w:rsid w:val="00520A67"/>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42F"/>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408"/>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3C2"/>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10BD"/>
    <w:rsid w:val="00561123"/>
    <w:rsid w:val="0056162A"/>
    <w:rsid w:val="00561812"/>
    <w:rsid w:val="005619C5"/>
    <w:rsid w:val="00561DEA"/>
    <w:rsid w:val="0056236F"/>
    <w:rsid w:val="005623AE"/>
    <w:rsid w:val="00562675"/>
    <w:rsid w:val="00562AE3"/>
    <w:rsid w:val="00562DF2"/>
    <w:rsid w:val="00562EA8"/>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87C96"/>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4C9"/>
    <w:rsid w:val="00595E18"/>
    <w:rsid w:val="0059645C"/>
    <w:rsid w:val="00596686"/>
    <w:rsid w:val="005966B3"/>
    <w:rsid w:val="005975F5"/>
    <w:rsid w:val="00597B46"/>
    <w:rsid w:val="00597EBB"/>
    <w:rsid w:val="005A0173"/>
    <w:rsid w:val="005A0A74"/>
    <w:rsid w:val="005A0B0A"/>
    <w:rsid w:val="005A0B35"/>
    <w:rsid w:val="005A1C50"/>
    <w:rsid w:val="005A21E1"/>
    <w:rsid w:val="005A2A83"/>
    <w:rsid w:val="005A2DA3"/>
    <w:rsid w:val="005A36A5"/>
    <w:rsid w:val="005A510C"/>
    <w:rsid w:val="005A58FF"/>
    <w:rsid w:val="005A5D4B"/>
    <w:rsid w:val="005A5FBB"/>
    <w:rsid w:val="005A5FE6"/>
    <w:rsid w:val="005A6122"/>
    <w:rsid w:val="005A6290"/>
    <w:rsid w:val="005A6C18"/>
    <w:rsid w:val="005A6DD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0A"/>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CD9"/>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69DB"/>
    <w:rsid w:val="005E714E"/>
    <w:rsid w:val="005E7F21"/>
    <w:rsid w:val="005F04A6"/>
    <w:rsid w:val="005F085D"/>
    <w:rsid w:val="005F0A0B"/>
    <w:rsid w:val="005F0D07"/>
    <w:rsid w:val="005F0E4E"/>
    <w:rsid w:val="005F1B9A"/>
    <w:rsid w:val="005F2929"/>
    <w:rsid w:val="005F30A0"/>
    <w:rsid w:val="005F316C"/>
    <w:rsid w:val="005F366E"/>
    <w:rsid w:val="005F3814"/>
    <w:rsid w:val="005F4C1E"/>
    <w:rsid w:val="005F57B5"/>
    <w:rsid w:val="005F5B47"/>
    <w:rsid w:val="005F60D1"/>
    <w:rsid w:val="005F67A4"/>
    <w:rsid w:val="005F695C"/>
    <w:rsid w:val="005F6D0A"/>
    <w:rsid w:val="005F6DA0"/>
    <w:rsid w:val="00600509"/>
    <w:rsid w:val="00600A79"/>
    <w:rsid w:val="00601116"/>
    <w:rsid w:val="00601227"/>
    <w:rsid w:val="00601B65"/>
    <w:rsid w:val="00601BD4"/>
    <w:rsid w:val="0060206E"/>
    <w:rsid w:val="00602ED7"/>
    <w:rsid w:val="0060346C"/>
    <w:rsid w:val="006034D4"/>
    <w:rsid w:val="006038A6"/>
    <w:rsid w:val="006039EE"/>
    <w:rsid w:val="00603E9F"/>
    <w:rsid w:val="00604258"/>
    <w:rsid w:val="0060483B"/>
    <w:rsid w:val="00604995"/>
    <w:rsid w:val="00604B16"/>
    <w:rsid w:val="00604BF7"/>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6CC"/>
    <w:rsid w:val="00611814"/>
    <w:rsid w:val="00611C68"/>
    <w:rsid w:val="00612D28"/>
    <w:rsid w:val="00612DF0"/>
    <w:rsid w:val="006135EF"/>
    <w:rsid w:val="006139EF"/>
    <w:rsid w:val="0061415E"/>
    <w:rsid w:val="00614CD1"/>
    <w:rsid w:val="00614FCF"/>
    <w:rsid w:val="00615C6B"/>
    <w:rsid w:val="00615F5C"/>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A33"/>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CCF"/>
    <w:rsid w:val="00654F87"/>
    <w:rsid w:val="00655D1E"/>
    <w:rsid w:val="00655F0E"/>
    <w:rsid w:val="0065682D"/>
    <w:rsid w:val="006570DF"/>
    <w:rsid w:val="0065732C"/>
    <w:rsid w:val="00657DC1"/>
    <w:rsid w:val="006605BD"/>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1EBF"/>
    <w:rsid w:val="0067245F"/>
    <w:rsid w:val="006734F6"/>
    <w:rsid w:val="0067370A"/>
    <w:rsid w:val="0067374B"/>
    <w:rsid w:val="00673B3F"/>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18AB"/>
    <w:rsid w:val="0068212A"/>
    <w:rsid w:val="006846E2"/>
    <w:rsid w:val="00684B77"/>
    <w:rsid w:val="00684CA7"/>
    <w:rsid w:val="006853D4"/>
    <w:rsid w:val="006856EF"/>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639"/>
    <w:rsid w:val="006A2EEE"/>
    <w:rsid w:val="006A3441"/>
    <w:rsid w:val="006A409D"/>
    <w:rsid w:val="006A458B"/>
    <w:rsid w:val="006A4807"/>
    <w:rsid w:val="006A4B0C"/>
    <w:rsid w:val="006A4E28"/>
    <w:rsid w:val="006A591C"/>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3527"/>
    <w:rsid w:val="006C3B93"/>
    <w:rsid w:val="006C3FC9"/>
    <w:rsid w:val="006C4835"/>
    <w:rsid w:val="006C4A3C"/>
    <w:rsid w:val="006C5177"/>
    <w:rsid w:val="006C529B"/>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8D9"/>
    <w:rsid w:val="006D62E3"/>
    <w:rsid w:val="006D63B9"/>
    <w:rsid w:val="006D64FC"/>
    <w:rsid w:val="006D69B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1D1"/>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285"/>
    <w:rsid w:val="00703547"/>
    <w:rsid w:val="00703A4A"/>
    <w:rsid w:val="00703B4A"/>
    <w:rsid w:val="00703C0A"/>
    <w:rsid w:val="00703C6D"/>
    <w:rsid w:val="00705108"/>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78E"/>
    <w:rsid w:val="00712A7A"/>
    <w:rsid w:val="00712EDA"/>
    <w:rsid w:val="00713648"/>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DB6"/>
    <w:rsid w:val="00737F39"/>
    <w:rsid w:val="007401FE"/>
    <w:rsid w:val="007405B2"/>
    <w:rsid w:val="0074067F"/>
    <w:rsid w:val="00740832"/>
    <w:rsid w:val="00740CC9"/>
    <w:rsid w:val="007412C6"/>
    <w:rsid w:val="00741797"/>
    <w:rsid w:val="00742893"/>
    <w:rsid w:val="00742E40"/>
    <w:rsid w:val="00743028"/>
    <w:rsid w:val="007433FE"/>
    <w:rsid w:val="00743DE9"/>
    <w:rsid w:val="007455FD"/>
    <w:rsid w:val="00746086"/>
    <w:rsid w:val="007460F5"/>
    <w:rsid w:val="00746659"/>
    <w:rsid w:val="0074691A"/>
    <w:rsid w:val="00747022"/>
    <w:rsid w:val="00747AC5"/>
    <w:rsid w:val="00750DA2"/>
    <w:rsid w:val="0075175D"/>
    <w:rsid w:val="0075191D"/>
    <w:rsid w:val="00751EEE"/>
    <w:rsid w:val="00752717"/>
    <w:rsid w:val="00752A90"/>
    <w:rsid w:val="00752F4E"/>
    <w:rsid w:val="0075348F"/>
    <w:rsid w:val="007536B2"/>
    <w:rsid w:val="0075373E"/>
    <w:rsid w:val="00753902"/>
    <w:rsid w:val="00753BEA"/>
    <w:rsid w:val="007548C5"/>
    <w:rsid w:val="00754A7F"/>
    <w:rsid w:val="00754C7C"/>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D18"/>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5DF7"/>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3AC"/>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B62"/>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AB1"/>
    <w:rsid w:val="007B6C76"/>
    <w:rsid w:val="007B6DB6"/>
    <w:rsid w:val="007B6E10"/>
    <w:rsid w:val="007B7496"/>
    <w:rsid w:val="007B7EDA"/>
    <w:rsid w:val="007C11E4"/>
    <w:rsid w:val="007C197B"/>
    <w:rsid w:val="007C1CE3"/>
    <w:rsid w:val="007C1FE3"/>
    <w:rsid w:val="007C268E"/>
    <w:rsid w:val="007C2739"/>
    <w:rsid w:val="007C2751"/>
    <w:rsid w:val="007C289D"/>
    <w:rsid w:val="007C2ED0"/>
    <w:rsid w:val="007C3349"/>
    <w:rsid w:val="007C3CF0"/>
    <w:rsid w:val="007C3FCB"/>
    <w:rsid w:val="007C430A"/>
    <w:rsid w:val="007C4632"/>
    <w:rsid w:val="007C48D1"/>
    <w:rsid w:val="007C494C"/>
    <w:rsid w:val="007C5270"/>
    <w:rsid w:val="007C5584"/>
    <w:rsid w:val="007C58BD"/>
    <w:rsid w:val="007C5D71"/>
    <w:rsid w:val="007C5DB6"/>
    <w:rsid w:val="007C6341"/>
    <w:rsid w:val="007C6D74"/>
    <w:rsid w:val="007C722C"/>
    <w:rsid w:val="007C7DF2"/>
    <w:rsid w:val="007D0002"/>
    <w:rsid w:val="007D06CB"/>
    <w:rsid w:val="007D07CA"/>
    <w:rsid w:val="007D091A"/>
    <w:rsid w:val="007D0C44"/>
    <w:rsid w:val="007D1FD9"/>
    <w:rsid w:val="007D2799"/>
    <w:rsid w:val="007D2D56"/>
    <w:rsid w:val="007D2DD0"/>
    <w:rsid w:val="007D3749"/>
    <w:rsid w:val="007D380A"/>
    <w:rsid w:val="007D3D39"/>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4A21"/>
    <w:rsid w:val="007E54CB"/>
    <w:rsid w:val="007E5682"/>
    <w:rsid w:val="007E568A"/>
    <w:rsid w:val="007E5863"/>
    <w:rsid w:val="007E5BB1"/>
    <w:rsid w:val="007E61D7"/>
    <w:rsid w:val="007E670B"/>
    <w:rsid w:val="007E6773"/>
    <w:rsid w:val="007E6782"/>
    <w:rsid w:val="007E6DE2"/>
    <w:rsid w:val="007E7BBD"/>
    <w:rsid w:val="007E7F73"/>
    <w:rsid w:val="007F0168"/>
    <w:rsid w:val="007F043D"/>
    <w:rsid w:val="007F15EE"/>
    <w:rsid w:val="007F19F8"/>
    <w:rsid w:val="007F29F0"/>
    <w:rsid w:val="007F3CCD"/>
    <w:rsid w:val="007F3EE5"/>
    <w:rsid w:val="007F40A5"/>
    <w:rsid w:val="007F493D"/>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0D5"/>
    <w:rsid w:val="0080527E"/>
    <w:rsid w:val="00805924"/>
    <w:rsid w:val="00805994"/>
    <w:rsid w:val="008061FD"/>
    <w:rsid w:val="00806D65"/>
    <w:rsid w:val="0080716C"/>
    <w:rsid w:val="0080743E"/>
    <w:rsid w:val="008074C3"/>
    <w:rsid w:val="00807A07"/>
    <w:rsid w:val="00807DBE"/>
    <w:rsid w:val="00810469"/>
    <w:rsid w:val="00810ECE"/>
    <w:rsid w:val="0081116E"/>
    <w:rsid w:val="008119BF"/>
    <w:rsid w:val="00811B36"/>
    <w:rsid w:val="00812113"/>
    <w:rsid w:val="0081223B"/>
    <w:rsid w:val="0081331C"/>
    <w:rsid w:val="00813516"/>
    <w:rsid w:val="00813CDD"/>
    <w:rsid w:val="00814452"/>
    <w:rsid w:val="008151A9"/>
    <w:rsid w:val="0081543F"/>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1255"/>
    <w:rsid w:val="0084126B"/>
    <w:rsid w:val="00841ACD"/>
    <w:rsid w:val="00841F44"/>
    <w:rsid w:val="00842100"/>
    <w:rsid w:val="00842CC6"/>
    <w:rsid w:val="00843114"/>
    <w:rsid w:val="00844164"/>
    <w:rsid w:val="0084480A"/>
    <w:rsid w:val="0084483B"/>
    <w:rsid w:val="00844E17"/>
    <w:rsid w:val="008452FD"/>
    <w:rsid w:val="008457DC"/>
    <w:rsid w:val="008468A2"/>
    <w:rsid w:val="00846AE6"/>
    <w:rsid w:val="0084701C"/>
    <w:rsid w:val="00847298"/>
    <w:rsid w:val="00847AD5"/>
    <w:rsid w:val="00847CC3"/>
    <w:rsid w:val="00847CF0"/>
    <w:rsid w:val="00850895"/>
    <w:rsid w:val="008509C4"/>
    <w:rsid w:val="00850CE0"/>
    <w:rsid w:val="00850E29"/>
    <w:rsid w:val="00850EB7"/>
    <w:rsid w:val="00851964"/>
    <w:rsid w:val="00851DCF"/>
    <w:rsid w:val="00852307"/>
    <w:rsid w:val="008523C3"/>
    <w:rsid w:val="008524EA"/>
    <w:rsid w:val="00852773"/>
    <w:rsid w:val="00852B47"/>
    <w:rsid w:val="0085336A"/>
    <w:rsid w:val="00853FE7"/>
    <w:rsid w:val="0085414F"/>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CBA"/>
    <w:rsid w:val="00862D90"/>
    <w:rsid w:val="008630BD"/>
    <w:rsid w:val="008632B9"/>
    <w:rsid w:val="00863332"/>
    <w:rsid w:val="0086362F"/>
    <w:rsid w:val="00864D11"/>
    <w:rsid w:val="008657C9"/>
    <w:rsid w:val="0086651B"/>
    <w:rsid w:val="008669CE"/>
    <w:rsid w:val="00866F53"/>
    <w:rsid w:val="0086724A"/>
    <w:rsid w:val="0086731A"/>
    <w:rsid w:val="008676BC"/>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796"/>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6E5"/>
    <w:rsid w:val="008B77E6"/>
    <w:rsid w:val="008C016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B"/>
    <w:rsid w:val="008D70E3"/>
    <w:rsid w:val="008E06FE"/>
    <w:rsid w:val="008E0857"/>
    <w:rsid w:val="008E0E69"/>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834"/>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3166"/>
    <w:rsid w:val="009032B8"/>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2C85"/>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C14"/>
    <w:rsid w:val="00927E04"/>
    <w:rsid w:val="00930C42"/>
    <w:rsid w:val="0093112D"/>
    <w:rsid w:val="00931ACC"/>
    <w:rsid w:val="00931E6B"/>
    <w:rsid w:val="00931FC2"/>
    <w:rsid w:val="009336EE"/>
    <w:rsid w:val="0093373F"/>
    <w:rsid w:val="00935751"/>
    <w:rsid w:val="0093660A"/>
    <w:rsid w:val="00936767"/>
    <w:rsid w:val="00936BDC"/>
    <w:rsid w:val="00937883"/>
    <w:rsid w:val="00937AC7"/>
    <w:rsid w:val="00937EAA"/>
    <w:rsid w:val="009413A4"/>
    <w:rsid w:val="00941BEF"/>
    <w:rsid w:val="00942455"/>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5A9"/>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B0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7F8"/>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E69"/>
    <w:rsid w:val="009A31E9"/>
    <w:rsid w:val="009A33EF"/>
    <w:rsid w:val="009A33F0"/>
    <w:rsid w:val="009A3B0D"/>
    <w:rsid w:val="009A3CE1"/>
    <w:rsid w:val="009A419D"/>
    <w:rsid w:val="009A439E"/>
    <w:rsid w:val="009A4ACA"/>
    <w:rsid w:val="009A4CFE"/>
    <w:rsid w:val="009A5A4E"/>
    <w:rsid w:val="009A5C3B"/>
    <w:rsid w:val="009A5CF2"/>
    <w:rsid w:val="009A64AA"/>
    <w:rsid w:val="009A6574"/>
    <w:rsid w:val="009A6AFB"/>
    <w:rsid w:val="009A738C"/>
    <w:rsid w:val="009B06A2"/>
    <w:rsid w:val="009B06AB"/>
    <w:rsid w:val="009B07A0"/>
    <w:rsid w:val="009B08B6"/>
    <w:rsid w:val="009B0CDB"/>
    <w:rsid w:val="009B17E6"/>
    <w:rsid w:val="009B2051"/>
    <w:rsid w:val="009B2250"/>
    <w:rsid w:val="009B2AE9"/>
    <w:rsid w:val="009B3BB5"/>
    <w:rsid w:val="009B3EFF"/>
    <w:rsid w:val="009B40AC"/>
    <w:rsid w:val="009B4203"/>
    <w:rsid w:val="009B43A7"/>
    <w:rsid w:val="009B4501"/>
    <w:rsid w:val="009B49EC"/>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3D55"/>
    <w:rsid w:val="009D444F"/>
    <w:rsid w:val="009D4A84"/>
    <w:rsid w:val="009D4B72"/>
    <w:rsid w:val="009D4EA4"/>
    <w:rsid w:val="009D56B6"/>
    <w:rsid w:val="009D698E"/>
    <w:rsid w:val="009E0C07"/>
    <w:rsid w:val="009E1C0E"/>
    <w:rsid w:val="009E1EB6"/>
    <w:rsid w:val="009E2096"/>
    <w:rsid w:val="009E21F2"/>
    <w:rsid w:val="009E229D"/>
    <w:rsid w:val="009E23C5"/>
    <w:rsid w:val="009E2C4E"/>
    <w:rsid w:val="009E2DAA"/>
    <w:rsid w:val="009E3660"/>
    <w:rsid w:val="009E3A62"/>
    <w:rsid w:val="009E3AD1"/>
    <w:rsid w:val="009E3C4B"/>
    <w:rsid w:val="009E3D55"/>
    <w:rsid w:val="009E40D3"/>
    <w:rsid w:val="009E41D5"/>
    <w:rsid w:val="009E4210"/>
    <w:rsid w:val="009E4525"/>
    <w:rsid w:val="009E45BC"/>
    <w:rsid w:val="009E4A05"/>
    <w:rsid w:val="009E4A08"/>
    <w:rsid w:val="009E4B10"/>
    <w:rsid w:val="009E4C52"/>
    <w:rsid w:val="009E4C7B"/>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0CA3"/>
    <w:rsid w:val="009F0FB4"/>
    <w:rsid w:val="009F155C"/>
    <w:rsid w:val="009F1E03"/>
    <w:rsid w:val="009F2BD3"/>
    <w:rsid w:val="009F2BEB"/>
    <w:rsid w:val="009F2FE6"/>
    <w:rsid w:val="009F3421"/>
    <w:rsid w:val="009F36A4"/>
    <w:rsid w:val="009F3B7E"/>
    <w:rsid w:val="009F3C53"/>
    <w:rsid w:val="009F409E"/>
    <w:rsid w:val="009F42DF"/>
    <w:rsid w:val="009F4658"/>
    <w:rsid w:val="009F4F4D"/>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CAD"/>
    <w:rsid w:val="00A04E9B"/>
    <w:rsid w:val="00A0528D"/>
    <w:rsid w:val="00A05F26"/>
    <w:rsid w:val="00A0608B"/>
    <w:rsid w:val="00A0611E"/>
    <w:rsid w:val="00A065AE"/>
    <w:rsid w:val="00A07187"/>
    <w:rsid w:val="00A071E5"/>
    <w:rsid w:val="00A072D9"/>
    <w:rsid w:val="00A07CB6"/>
    <w:rsid w:val="00A07F41"/>
    <w:rsid w:val="00A07FAB"/>
    <w:rsid w:val="00A10031"/>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2F4"/>
    <w:rsid w:val="00A175BB"/>
    <w:rsid w:val="00A17911"/>
    <w:rsid w:val="00A17D0F"/>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1E3"/>
    <w:rsid w:val="00A47488"/>
    <w:rsid w:val="00A47631"/>
    <w:rsid w:val="00A47E8D"/>
    <w:rsid w:val="00A47FCE"/>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393"/>
    <w:rsid w:val="00A5592F"/>
    <w:rsid w:val="00A55C6A"/>
    <w:rsid w:val="00A55D1A"/>
    <w:rsid w:val="00A55D30"/>
    <w:rsid w:val="00A560B5"/>
    <w:rsid w:val="00A5647E"/>
    <w:rsid w:val="00A573B4"/>
    <w:rsid w:val="00A57834"/>
    <w:rsid w:val="00A578CE"/>
    <w:rsid w:val="00A57C1B"/>
    <w:rsid w:val="00A60A02"/>
    <w:rsid w:val="00A60EDB"/>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23F"/>
    <w:rsid w:val="00A6632C"/>
    <w:rsid w:val="00A6633E"/>
    <w:rsid w:val="00A66544"/>
    <w:rsid w:val="00A669EB"/>
    <w:rsid w:val="00A66D04"/>
    <w:rsid w:val="00A67764"/>
    <w:rsid w:val="00A67D2F"/>
    <w:rsid w:val="00A67D68"/>
    <w:rsid w:val="00A7024D"/>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2A9"/>
    <w:rsid w:val="00A8643A"/>
    <w:rsid w:val="00A86A82"/>
    <w:rsid w:val="00A8748B"/>
    <w:rsid w:val="00A90025"/>
    <w:rsid w:val="00A90340"/>
    <w:rsid w:val="00A907F8"/>
    <w:rsid w:val="00A90C07"/>
    <w:rsid w:val="00A910AD"/>
    <w:rsid w:val="00A91294"/>
    <w:rsid w:val="00A91422"/>
    <w:rsid w:val="00A9158B"/>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62E7"/>
    <w:rsid w:val="00AA6550"/>
    <w:rsid w:val="00AA66C7"/>
    <w:rsid w:val="00AA7819"/>
    <w:rsid w:val="00AA7FA4"/>
    <w:rsid w:val="00AB0E52"/>
    <w:rsid w:val="00AB1579"/>
    <w:rsid w:val="00AB179E"/>
    <w:rsid w:val="00AB1A65"/>
    <w:rsid w:val="00AB2574"/>
    <w:rsid w:val="00AB2664"/>
    <w:rsid w:val="00AB2697"/>
    <w:rsid w:val="00AB2CEF"/>
    <w:rsid w:val="00AB4757"/>
    <w:rsid w:val="00AB5E9A"/>
    <w:rsid w:val="00AB6140"/>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AE3"/>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564"/>
    <w:rsid w:val="00B148C6"/>
    <w:rsid w:val="00B14DF2"/>
    <w:rsid w:val="00B1513F"/>
    <w:rsid w:val="00B15573"/>
    <w:rsid w:val="00B160BC"/>
    <w:rsid w:val="00B17326"/>
    <w:rsid w:val="00B177FD"/>
    <w:rsid w:val="00B206FB"/>
    <w:rsid w:val="00B20742"/>
    <w:rsid w:val="00B20A13"/>
    <w:rsid w:val="00B20E92"/>
    <w:rsid w:val="00B2136C"/>
    <w:rsid w:val="00B215E5"/>
    <w:rsid w:val="00B2167F"/>
    <w:rsid w:val="00B2179F"/>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79D"/>
    <w:rsid w:val="00B35D24"/>
    <w:rsid w:val="00B35EF8"/>
    <w:rsid w:val="00B36FD9"/>
    <w:rsid w:val="00B3708E"/>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3FE7"/>
    <w:rsid w:val="00B75245"/>
    <w:rsid w:val="00B7595A"/>
    <w:rsid w:val="00B75F69"/>
    <w:rsid w:val="00B76151"/>
    <w:rsid w:val="00B76215"/>
    <w:rsid w:val="00B76976"/>
    <w:rsid w:val="00B76E74"/>
    <w:rsid w:val="00B76F58"/>
    <w:rsid w:val="00B77258"/>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4437"/>
    <w:rsid w:val="00B84681"/>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72B"/>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39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AF0"/>
    <w:rsid w:val="00BE1F1E"/>
    <w:rsid w:val="00BE2220"/>
    <w:rsid w:val="00BE2C45"/>
    <w:rsid w:val="00BE3594"/>
    <w:rsid w:val="00BE372B"/>
    <w:rsid w:val="00BE3F0F"/>
    <w:rsid w:val="00BE3F4B"/>
    <w:rsid w:val="00BE44D7"/>
    <w:rsid w:val="00BE485E"/>
    <w:rsid w:val="00BE49B3"/>
    <w:rsid w:val="00BE5567"/>
    <w:rsid w:val="00BE5836"/>
    <w:rsid w:val="00BE58E6"/>
    <w:rsid w:val="00BE5907"/>
    <w:rsid w:val="00BE5E86"/>
    <w:rsid w:val="00BE5F03"/>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353"/>
    <w:rsid w:val="00C00638"/>
    <w:rsid w:val="00C00695"/>
    <w:rsid w:val="00C007A3"/>
    <w:rsid w:val="00C009AE"/>
    <w:rsid w:val="00C00E99"/>
    <w:rsid w:val="00C0196A"/>
    <w:rsid w:val="00C024FC"/>
    <w:rsid w:val="00C02C36"/>
    <w:rsid w:val="00C04508"/>
    <w:rsid w:val="00C0471E"/>
    <w:rsid w:val="00C04D33"/>
    <w:rsid w:val="00C054FB"/>
    <w:rsid w:val="00C05A60"/>
    <w:rsid w:val="00C05A79"/>
    <w:rsid w:val="00C06213"/>
    <w:rsid w:val="00C06B18"/>
    <w:rsid w:val="00C06C0E"/>
    <w:rsid w:val="00C0702E"/>
    <w:rsid w:val="00C071A7"/>
    <w:rsid w:val="00C07667"/>
    <w:rsid w:val="00C077CE"/>
    <w:rsid w:val="00C1054A"/>
    <w:rsid w:val="00C1065E"/>
    <w:rsid w:val="00C10963"/>
    <w:rsid w:val="00C10D06"/>
    <w:rsid w:val="00C10DCB"/>
    <w:rsid w:val="00C10DF4"/>
    <w:rsid w:val="00C11327"/>
    <w:rsid w:val="00C119CC"/>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BA5"/>
    <w:rsid w:val="00C15E8F"/>
    <w:rsid w:val="00C15EDB"/>
    <w:rsid w:val="00C16198"/>
    <w:rsid w:val="00C1675B"/>
    <w:rsid w:val="00C16C4F"/>
    <w:rsid w:val="00C16CA0"/>
    <w:rsid w:val="00C16EDB"/>
    <w:rsid w:val="00C17931"/>
    <w:rsid w:val="00C2007A"/>
    <w:rsid w:val="00C20531"/>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AB1"/>
    <w:rsid w:val="00C418CB"/>
    <w:rsid w:val="00C41F77"/>
    <w:rsid w:val="00C4242B"/>
    <w:rsid w:val="00C4253A"/>
    <w:rsid w:val="00C428D6"/>
    <w:rsid w:val="00C429DB"/>
    <w:rsid w:val="00C42B2E"/>
    <w:rsid w:val="00C42B7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5DAD"/>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59"/>
    <w:rsid w:val="00C541BE"/>
    <w:rsid w:val="00C548AC"/>
    <w:rsid w:val="00C5531A"/>
    <w:rsid w:val="00C55374"/>
    <w:rsid w:val="00C55384"/>
    <w:rsid w:val="00C55411"/>
    <w:rsid w:val="00C5590E"/>
    <w:rsid w:val="00C56FCC"/>
    <w:rsid w:val="00C573EF"/>
    <w:rsid w:val="00C57415"/>
    <w:rsid w:val="00C57751"/>
    <w:rsid w:val="00C57B3F"/>
    <w:rsid w:val="00C60E3A"/>
    <w:rsid w:val="00C6184F"/>
    <w:rsid w:val="00C61B6C"/>
    <w:rsid w:val="00C6225A"/>
    <w:rsid w:val="00C62CE5"/>
    <w:rsid w:val="00C63B22"/>
    <w:rsid w:val="00C64604"/>
    <w:rsid w:val="00C649D5"/>
    <w:rsid w:val="00C657AE"/>
    <w:rsid w:val="00C65BD3"/>
    <w:rsid w:val="00C66225"/>
    <w:rsid w:val="00C66542"/>
    <w:rsid w:val="00C6716C"/>
    <w:rsid w:val="00C67276"/>
    <w:rsid w:val="00C67C02"/>
    <w:rsid w:val="00C67F71"/>
    <w:rsid w:val="00C7068B"/>
    <w:rsid w:val="00C70759"/>
    <w:rsid w:val="00C715A0"/>
    <w:rsid w:val="00C716DC"/>
    <w:rsid w:val="00C720F6"/>
    <w:rsid w:val="00C722CB"/>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76E24"/>
    <w:rsid w:val="00C801BE"/>
    <w:rsid w:val="00C8048E"/>
    <w:rsid w:val="00C81124"/>
    <w:rsid w:val="00C818EB"/>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8B6"/>
    <w:rsid w:val="00C90EE5"/>
    <w:rsid w:val="00C91A44"/>
    <w:rsid w:val="00C92461"/>
    <w:rsid w:val="00C92603"/>
    <w:rsid w:val="00C929B5"/>
    <w:rsid w:val="00C929C4"/>
    <w:rsid w:val="00C92B57"/>
    <w:rsid w:val="00C931EC"/>
    <w:rsid w:val="00C93273"/>
    <w:rsid w:val="00C942D9"/>
    <w:rsid w:val="00C9477F"/>
    <w:rsid w:val="00C949CD"/>
    <w:rsid w:val="00C94A6C"/>
    <w:rsid w:val="00C94CE9"/>
    <w:rsid w:val="00C9535B"/>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9F7"/>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3F8"/>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0C89"/>
    <w:rsid w:val="00CD177D"/>
    <w:rsid w:val="00CD259E"/>
    <w:rsid w:val="00CD2AD0"/>
    <w:rsid w:val="00CD2AD8"/>
    <w:rsid w:val="00CD35E6"/>
    <w:rsid w:val="00CD371C"/>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FC3"/>
    <w:rsid w:val="00CF205D"/>
    <w:rsid w:val="00CF20E7"/>
    <w:rsid w:val="00CF2C40"/>
    <w:rsid w:val="00CF36AB"/>
    <w:rsid w:val="00CF430B"/>
    <w:rsid w:val="00CF474F"/>
    <w:rsid w:val="00CF48CA"/>
    <w:rsid w:val="00CF4BA8"/>
    <w:rsid w:val="00CF5296"/>
    <w:rsid w:val="00CF5440"/>
    <w:rsid w:val="00CF5D28"/>
    <w:rsid w:val="00CF5D72"/>
    <w:rsid w:val="00CF5FE1"/>
    <w:rsid w:val="00CF613D"/>
    <w:rsid w:val="00CF6AEE"/>
    <w:rsid w:val="00CF6C02"/>
    <w:rsid w:val="00CF7434"/>
    <w:rsid w:val="00CF75E7"/>
    <w:rsid w:val="00CF7C0F"/>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5D6"/>
    <w:rsid w:val="00D216A7"/>
    <w:rsid w:val="00D21944"/>
    <w:rsid w:val="00D21F99"/>
    <w:rsid w:val="00D22435"/>
    <w:rsid w:val="00D2251A"/>
    <w:rsid w:val="00D22FBD"/>
    <w:rsid w:val="00D242AE"/>
    <w:rsid w:val="00D24391"/>
    <w:rsid w:val="00D243D0"/>
    <w:rsid w:val="00D2476A"/>
    <w:rsid w:val="00D24EFF"/>
    <w:rsid w:val="00D250DC"/>
    <w:rsid w:val="00D2515B"/>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6AB"/>
    <w:rsid w:val="00DA0E18"/>
    <w:rsid w:val="00DA1378"/>
    <w:rsid w:val="00DA1DAF"/>
    <w:rsid w:val="00DA1F25"/>
    <w:rsid w:val="00DA2642"/>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1AC"/>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219"/>
    <w:rsid w:val="00DD6A27"/>
    <w:rsid w:val="00DD6AC0"/>
    <w:rsid w:val="00DD7E89"/>
    <w:rsid w:val="00DE0D05"/>
    <w:rsid w:val="00DE13FF"/>
    <w:rsid w:val="00DE1643"/>
    <w:rsid w:val="00DE1FBC"/>
    <w:rsid w:val="00DE22B5"/>
    <w:rsid w:val="00DE25C6"/>
    <w:rsid w:val="00DE26D0"/>
    <w:rsid w:val="00DE2B69"/>
    <w:rsid w:val="00DE3669"/>
    <w:rsid w:val="00DE3C97"/>
    <w:rsid w:val="00DE3DBB"/>
    <w:rsid w:val="00DE42EB"/>
    <w:rsid w:val="00DE4383"/>
    <w:rsid w:val="00DE46AC"/>
    <w:rsid w:val="00DE4AF9"/>
    <w:rsid w:val="00DE4F29"/>
    <w:rsid w:val="00DE544A"/>
    <w:rsid w:val="00DE56D7"/>
    <w:rsid w:val="00DE63A8"/>
    <w:rsid w:val="00DE719E"/>
    <w:rsid w:val="00DE77F5"/>
    <w:rsid w:val="00DE7C0D"/>
    <w:rsid w:val="00DE7C46"/>
    <w:rsid w:val="00DF0205"/>
    <w:rsid w:val="00DF10DF"/>
    <w:rsid w:val="00DF11BA"/>
    <w:rsid w:val="00DF192B"/>
    <w:rsid w:val="00DF1A7A"/>
    <w:rsid w:val="00DF1E4D"/>
    <w:rsid w:val="00DF247E"/>
    <w:rsid w:val="00DF27B9"/>
    <w:rsid w:val="00DF2800"/>
    <w:rsid w:val="00DF2A2A"/>
    <w:rsid w:val="00DF2C99"/>
    <w:rsid w:val="00DF34FE"/>
    <w:rsid w:val="00DF4D29"/>
    <w:rsid w:val="00DF5116"/>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14C"/>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46C"/>
    <w:rsid w:val="00E11538"/>
    <w:rsid w:val="00E11788"/>
    <w:rsid w:val="00E11882"/>
    <w:rsid w:val="00E13276"/>
    <w:rsid w:val="00E1359E"/>
    <w:rsid w:val="00E138E4"/>
    <w:rsid w:val="00E13A07"/>
    <w:rsid w:val="00E13AEC"/>
    <w:rsid w:val="00E13CA8"/>
    <w:rsid w:val="00E13CB7"/>
    <w:rsid w:val="00E13D25"/>
    <w:rsid w:val="00E142A4"/>
    <w:rsid w:val="00E155C9"/>
    <w:rsid w:val="00E1576F"/>
    <w:rsid w:val="00E15A59"/>
    <w:rsid w:val="00E1650E"/>
    <w:rsid w:val="00E1683E"/>
    <w:rsid w:val="00E16853"/>
    <w:rsid w:val="00E168A9"/>
    <w:rsid w:val="00E16A48"/>
    <w:rsid w:val="00E16D35"/>
    <w:rsid w:val="00E173C0"/>
    <w:rsid w:val="00E176EA"/>
    <w:rsid w:val="00E17BC3"/>
    <w:rsid w:val="00E200D3"/>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5A2"/>
    <w:rsid w:val="00E51AFB"/>
    <w:rsid w:val="00E51CE8"/>
    <w:rsid w:val="00E51E73"/>
    <w:rsid w:val="00E51F46"/>
    <w:rsid w:val="00E521A9"/>
    <w:rsid w:val="00E52365"/>
    <w:rsid w:val="00E524D6"/>
    <w:rsid w:val="00E52713"/>
    <w:rsid w:val="00E52EC8"/>
    <w:rsid w:val="00E52EF0"/>
    <w:rsid w:val="00E52F81"/>
    <w:rsid w:val="00E53D4F"/>
    <w:rsid w:val="00E54408"/>
    <w:rsid w:val="00E54D5E"/>
    <w:rsid w:val="00E54DD9"/>
    <w:rsid w:val="00E55AD2"/>
    <w:rsid w:val="00E55C65"/>
    <w:rsid w:val="00E55F55"/>
    <w:rsid w:val="00E57BAF"/>
    <w:rsid w:val="00E60C8C"/>
    <w:rsid w:val="00E60E21"/>
    <w:rsid w:val="00E62033"/>
    <w:rsid w:val="00E62108"/>
    <w:rsid w:val="00E62369"/>
    <w:rsid w:val="00E626CB"/>
    <w:rsid w:val="00E630D7"/>
    <w:rsid w:val="00E6354F"/>
    <w:rsid w:val="00E63979"/>
    <w:rsid w:val="00E640CC"/>
    <w:rsid w:val="00E64E26"/>
    <w:rsid w:val="00E65011"/>
    <w:rsid w:val="00E65043"/>
    <w:rsid w:val="00E65B52"/>
    <w:rsid w:val="00E66098"/>
    <w:rsid w:val="00E664B1"/>
    <w:rsid w:val="00E6686F"/>
    <w:rsid w:val="00E671DD"/>
    <w:rsid w:val="00E674AE"/>
    <w:rsid w:val="00E674C4"/>
    <w:rsid w:val="00E675D3"/>
    <w:rsid w:val="00E67C1A"/>
    <w:rsid w:val="00E7166B"/>
    <w:rsid w:val="00E71E56"/>
    <w:rsid w:val="00E723A7"/>
    <w:rsid w:val="00E73032"/>
    <w:rsid w:val="00E7338E"/>
    <w:rsid w:val="00E7392D"/>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07F2"/>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54"/>
    <w:rsid w:val="00EC1E9A"/>
    <w:rsid w:val="00EC2192"/>
    <w:rsid w:val="00EC311B"/>
    <w:rsid w:val="00EC43ED"/>
    <w:rsid w:val="00EC4D71"/>
    <w:rsid w:val="00EC4DEF"/>
    <w:rsid w:val="00EC5328"/>
    <w:rsid w:val="00EC55BB"/>
    <w:rsid w:val="00EC59AF"/>
    <w:rsid w:val="00EC5AB8"/>
    <w:rsid w:val="00EC5DC1"/>
    <w:rsid w:val="00EC5E19"/>
    <w:rsid w:val="00EC66D8"/>
    <w:rsid w:val="00EC67C5"/>
    <w:rsid w:val="00EC6A0E"/>
    <w:rsid w:val="00EC71DA"/>
    <w:rsid w:val="00EC75AE"/>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3CD"/>
    <w:rsid w:val="00ED75FA"/>
    <w:rsid w:val="00EE0891"/>
    <w:rsid w:val="00EE1325"/>
    <w:rsid w:val="00EE1329"/>
    <w:rsid w:val="00EE1D02"/>
    <w:rsid w:val="00EE1E49"/>
    <w:rsid w:val="00EE1E51"/>
    <w:rsid w:val="00EE39D2"/>
    <w:rsid w:val="00EE3D97"/>
    <w:rsid w:val="00EE413F"/>
    <w:rsid w:val="00EE4732"/>
    <w:rsid w:val="00EE56C0"/>
    <w:rsid w:val="00EE5B8F"/>
    <w:rsid w:val="00EE640B"/>
    <w:rsid w:val="00EE675E"/>
    <w:rsid w:val="00EE6D00"/>
    <w:rsid w:val="00EE76A9"/>
    <w:rsid w:val="00EE78DE"/>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30A"/>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CB0"/>
    <w:rsid w:val="00F10E9A"/>
    <w:rsid w:val="00F113C1"/>
    <w:rsid w:val="00F11CCC"/>
    <w:rsid w:val="00F11D06"/>
    <w:rsid w:val="00F11E56"/>
    <w:rsid w:val="00F11EFC"/>
    <w:rsid w:val="00F12765"/>
    <w:rsid w:val="00F129F0"/>
    <w:rsid w:val="00F12B76"/>
    <w:rsid w:val="00F12F14"/>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7552"/>
    <w:rsid w:val="00F3777C"/>
    <w:rsid w:val="00F41DEF"/>
    <w:rsid w:val="00F41F9C"/>
    <w:rsid w:val="00F429B6"/>
    <w:rsid w:val="00F42DFF"/>
    <w:rsid w:val="00F436DB"/>
    <w:rsid w:val="00F44F4F"/>
    <w:rsid w:val="00F45040"/>
    <w:rsid w:val="00F45117"/>
    <w:rsid w:val="00F45732"/>
    <w:rsid w:val="00F45B7D"/>
    <w:rsid w:val="00F45C8E"/>
    <w:rsid w:val="00F45F27"/>
    <w:rsid w:val="00F462CF"/>
    <w:rsid w:val="00F4721B"/>
    <w:rsid w:val="00F4767F"/>
    <w:rsid w:val="00F47F85"/>
    <w:rsid w:val="00F505D7"/>
    <w:rsid w:val="00F50FCB"/>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1F6"/>
    <w:rsid w:val="00F647DE"/>
    <w:rsid w:val="00F64FB2"/>
    <w:rsid w:val="00F64FE7"/>
    <w:rsid w:val="00F65320"/>
    <w:rsid w:val="00F66123"/>
    <w:rsid w:val="00F66166"/>
    <w:rsid w:val="00F6623A"/>
    <w:rsid w:val="00F66527"/>
    <w:rsid w:val="00F665FA"/>
    <w:rsid w:val="00F66A34"/>
    <w:rsid w:val="00F66D98"/>
    <w:rsid w:val="00F67B3D"/>
    <w:rsid w:val="00F67EE9"/>
    <w:rsid w:val="00F7026B"/>
    <w:rsid w:val="00F7039A"/>
    <w:rsid w:val="00F70435"/>
    <w:rsid w:val="00F709D9"/>
    <w:rsid w:val="00F70F0D"/>
    <w:rsid w:val="00F71463"/>
    <w:rsid w:val="00F719CA"/>
    <w:rsid w:val="00F71A8C"/>
    <w:rsid w:val="00F71D89"/>
    <w:rsid w:val="00F72BAF"/>
    <w:rsid w:val="00F731E1"/>
    <w:rsid w:val="00F73354"/>
    <w:rsid w:val="00F73782"/>
    <w:rsid w:val="00F73F23"/>
    <w:rsid w:val="00F744C7"/>
    <w:rsid w:val="00F747CF"/>
    <w:rsid w:val="00F74EB5"/>
    <w:rsid w:val="00F74EFC"/>
    <w:rsid w:val="00F76493"/>
    <w:rsid w:val="00F76C9A"/>
    <w:rsid w:val="00F77622"/>
    <w:rsid w:val="00F779B8"/>
    <w:rsid w:val="00F800EC"/>
    <w:rsid w:val="00F803D4"/>
    <w:rsid w:val="00F80605"/>
    <w:rsid w:val="00F809EA"/>
    <w:rsid w:val="00F80DB5"/>
    <w:rsid w:val="00F81FCF"/>
    <w:rsid w:val="00F822E1"/>
    <w:rsid w:val="00F82BD3"/>
    <w:rsid w:val="00F8305A"/>
    <w:rsid w:val="00F840AA"/>
    <w:rsid w:val="00F8449B"/>
    <w:rsid w:val="00F84A73"/>
    <w:rsid w:val="00F84CF5"/>
    <w:rsid w:val="00F84DB2"/>
    <w:rsid w:val="00F859BE"/>
    <w:rsid w:val="00F85F8C"/>
    <w:rsid w:val="00F8626B"/>
    <w:rsid w:val="00F863B5"/>
    <w:rsid w:val="00F863E2"/>
    <w:rsid w:val="00F86745"/>
    <w:rsid w:val="00F8680B"/>
    <w:rsid w:val="00F86A4B"/>
    <w:rsid w:val="00F86D91"/>
    <w:rsid w:val="00F8730F"/>
    <w:rsid w:val="00F8735D"/>
    <w:rsid w:val="00F87516"/>
    <w:rsid w:val="00F87C0E"/>
    <w:rsid w:val="00F9063A"/>
    <w:rsid w:val="00F906C3"/>
    <w:rsid w:val="00F90882"/>
    <w:rsid w:val="00F90A62"/>
    <w:rsid w:val="00F90BBA"/>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6F6"/>
    <w:rsid w:val="00FB1CFD"/>
    <w:rsid w:val="00FB1FC6"/>
    <w:rsid w:val="00FB2056"/>
    <w:rsid w:val="00FB2220"/>
    <w:rsid w:val="00FB2379"/>
    <w:rsid w:val="00FB2492"/>
    <w:rsid w:val="00FB27CB"/>
    <w:rsid w:val="00FB30EB"/>
    <w:rsid w:val="00FB334E"/>
    <w:rsid w:val="00FB3B0F"/>
    <w:rsid w:val="00FB3BE2"/>
    <w:rsid w:val="00FB4955"/>
    <w:rsid w:val="00FB4F3C"/>
    <w:rsid w:val="00FB5081"/>
    <w:rsid w:val="00FB5805"/>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5E30"/>
    <w:rsid w:val="00FD68AD"/>
    <w:rsid w:val="00FD69BA"/>
    <w:rsid w:val="00FD6C26"/>
    <w:rsid w:val="00FD7331"/>
    <w:rsid w:val="00FD7526"/>
    <w:rsid w:val="00FE002E"/>
    <w:rsid w:val="00FE089B"/>
    <w:rsid w:val="00FE0CF3"/>
    <w:rsid w:val="00FE1BD1"/>
    <w:rsid w:val="00FE1DE3"/>
    <w:rsid w:val="00FE2291"/>
    <w:rsid w:val="00FE2DD8"/>
    <w:rsid w:val="00FE3087"/>
    <w:rsid w:val="00FE4CD0"/>
    <w:rsid w:val="00FE4E6F"/>
    <w:rsid w:val="00FE50CE"/>
    <w:rsid w:val="00FE517B"/>
    <w:rsid w:val="00FE5491"/>
    <w:rsid w:val="00FE559A"/>
    <w:rsid w:val="00FE5CE0"/>
    <w:rsid w:val="00FE68F6"/>
    <w:rsid w:val="00FE6B28"/>
    <w:rsid w:val="00FE6F2E"/>
    <w:rsid w:val="00FE708F"/>
    <w:rsid w:val="00FE77BF"/>
    <w:rsid w:val="00FE78AD"/>
    <w:rsid w:val="00FE7B8E"/>
    <w:rsid w:val="00FE7C7C"/>
    <w:rsid w:val="00FE7E01"/>
    <w:rsid w:val="00FF076B"/>
    <w:rsid w:val="00FF0ED1"/>
    <w:rsid w:val="00FF0F05"/>
    <w:rsid w:val="00FF16F2"/>
    <w:rsid w:val="00FF201A"/>
    <w:rsid w:val="00FF2CDC"/>
    <w:rsid w:val="00FF30B2"/>
    <w:rsid w:val="00FF38FE"/>
    <w:rsid w:val="00FF4222"/>
    <w:rsid w:val="00FF450D"/>
    <w:rsid w:val="00FF453D"/>
    <w:rsid w:val="00FF50A6"/>
    <w:rsid w:val="00FF5909"/>
    <w:rsid w:val="00FF5B20"/>
    <w:rsid w:val="00FF5CD0"/>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D2B0FFF"/>
  <w15:chartTrackingRefBased/>
  <w15:docId w15:val="{CB8F77D3-2FAA-446F-96EE-112917B5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2D0A"/>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2C2D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2D0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9"/>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pPr>
      <w:spacing w:after="0" w:line="240" w:lineRule="auto"/>
    </w:pPr>
    <w:rPr>
      <w:rFonts w:ascii="Times New Roman" w:eastAsia="Times New Roman" w:hAnsi="Times New Roman" w:cs="Times New Roman"/>
      <w:sz w:val="24"/>
      <w:szCs w:val="24"/>
      <w:lang w:val="fi-FI" w:eastAsia="fi-FI"/>
    </w:rPr>
  </w:style>
  <w:style w:type="character" w:customStyle="1" w:styleId="eop">
    <w:name w:val="eop"/>
    <w:basedOn w:val="DefaultParagraphFont"/>
    <w:rsid w:val="00E32D35"/>
  </w:style>
  <w:style w:type="character" w:customStyle="1" w:styleId="fontstyle01">
    <w:name w:val="fontstyle01"/>
    <w:basedOn w:val="DefaultParagraphFont"/>
    <w:rsid w:val="00A17D0F"/>
    <w:rPr>
      <w:rFonts w:ascii="TimesNewRomanPSMT" w:hAnsi="TimesNewRomanPSMT" w:hint="default"/>
      <w:b w:val="0"/>
      <w:bCs w:val="0"/>
      <w:i w:val="0"/>
      <w:iCs w:val="0"/>
      <w:color w:val="000000"/>
      <w:sz w:val="20"/>
      <w:szCs w:val="20"/>
    </w:rPr>
  </w:style>
  <w:style w:type="character" w:styleId="PlaceholderText">
    <w:name w:val="Placeholder Text"/>
    <w:basedOn w:val="DefaultParagraphFont"/>
    <w:uiPriority w:val="99"/>
    <w:semiHidden/>
    <w:rsid w:val="00A17D0F"/>
    <w:rPr>
      <w:color w:val="808080"/>
    </w:rPr>
  </w:style>
  <w:style w:type="character" w:customStyle="1" w:styleId="fontstyle21">
    <w:name w:val="fontstyle21"/>
    <w:basedOn w:val="DefaultParagraphFont"/>
    <w:rsid w:val="00A17D0F"/>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A17D0F"/>
    <w:rPr>
      <w:rFonts w:ascii="SymbolMT" w:hAnsi="SymbolMT" w:hint="default"/>
      <w:b w:val="0"/>
      <w:bCs w:val="0"/>
      <w:i w:val="0"/>
      <w:iCs w:val="0"/>
      <w:color w:val="000000"/>
      <w:sz w:val="98"/>
      <w:szCs w:val="98"/>
    </w:rPr>
  </w:style>
  <w:style w:type="table" w:styleId="GridTable5Dark-Accent5">
    <w:name w:val="Grid Table 5 Dark Accent 5"/>
    <w:basedOn w:val="TableNormal"/>
    <w:uiPriority w:val="50"/>
    <w:rsid w:val="009F0CA3"/>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1">
    <w:name w:val="Table Grid1"/>
    <w:basedOn w:val="TableNormal"/>
    <w:next w:val="TableGrid"/>
    <w:rsid w:val="000912C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703285"/>
    <w:pPr>
      <w:keepNext/>
      <w:keepLines/>
      <w:numPr>
        <w:numId w:val="5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character" w:styleId="UnresolvedMention">
    <w:name w:val="Unresolved Mention"/>
    <w:basedOn w:val="DefaultParagraphFont"/>
    <w:uiPriority w:val="99"/>
    <w:semiHidden/>
    <w:unhideWhenUsed/>
    <w:rsid w:val="00C908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2939081">
      <w:bodyDiv w:val="1"/>
      <w:marLeft w:val="0"/>
      <w:marRight w:val="0"/>
      <w:marTop w:val="0"/>
      <w:marBottom w:val="0"/>
      <w:divBdr>
        <w:top w:val="none" w:sz="0" w:space="0" w:color="auto"/>
        <w:left w:val="none" w:sz="0" w:space="0" w:color="auto"/>
        <w:bottom w:val="none" w:sz="0" w:space="0" w:color="auto"/>
        <w:right w:val="none" w:sz="0" w:space="0" w:color="auto"/>
      </w:divBdr>
      <w:divsChild>
        <w:div w:id="476916537">
          <w:marLeft w:val="1080"/>
          <w:marRight w:val="0"/>
          <w:marTop w:val="100"/>
          <w:marBottom w:val="0"/>
          <w:divBdr>
            <w:top w:val="none" w:sz="0" w:space="0" w:color="auto"/>
            <w:left w:val="none" w:sz="0" w:space="0" w:color="auto"/>
            <w:bottom w:val="none" w:sz="0" w:space="0" w:color="auto"/>
            <w:right w:val="none" w:sz="0" w:space="0" w:color="auto"/>
          </w:divBdr>
        </w:div>
        <w:div w:id="327289271">
          <w:marLeft w:val="1080"/>
          <w:marRight w:val="0"/>
          <w:marTop w:val="100"/>
          <w:marBottom w:val="0"/>
          <w:divBdr>
            <w:top w:val="none" w:sz="0" w:space="0" w:color="auto"/>
            <w:left w:val="none" w:sz="0" w:space="0" w:color="auto"/>
            <w:bottom w:val="none" w:sz="0" w:space="0" w:color="auto"/>
            <w:right w:val="none" w:sz="0" w:space="0" w:color="auto"/>
          </w:divBdr>
        </w:div>
        <w:div w:id="311909987">
          <w:marLeft w:val="1080"/>
          <w:marRight w:val="0"/>
          <w:marTop w:val="100"/>
          <w:marBottom w:val="0"/>
          <w:divBdr>
            <w:top w:val="none" w:sz="0" w:space="0" w:color="auto"/>
            <w:left w:val="none" w:sz="0" w:space="0" w:color="auto"/>
            <w:bottom w:val="none" w:sz="0" w:space="0" w:color="auto"/>
            <w:right w:val="none" w:sz="0" w:space="0" w:color="auto"/>
          </w:divBdr>
        </w:div>
        <w:div w:id="2109420925">
          <w:marLeft w:val="1080"/>
          <w:marRight w:val="0"/>
          <w:marTop w:val="100"/>
          <w:marBottom w:val="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56493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34283224">
      <w:bodyDiv w:val="1"/>
      <w:marLeft w:val="0"/>
      <w:marRight w:val="0"/>
      <w:marTop w:val="0"/>
      <w:marBottom w:val="0"/>
      <w:divBdr>
        <w:top w:val="none" w:sz="0" w:space="0" w:color="auto"/>
        <w:left w:val="none" w:sz="0" w:space="0" w:color="auto"/>
        <w:bottom w:val="none" w:sz="0" w:space="0" w:color="auto"/>
        <w:right w:val="none" w:sz="0" w:space="0" w:color="auto"/>
      </w:divBdr>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61688085">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268785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601609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26006780">
      <w:bodyDiv w:val="1"/>
      <w:marLeft w:val="0"/>
      <w:marRight w:val="0"/>
      <w:marTop w:val="0"/>
      <w:marBottom w:val="0"/>
      <w:divBdr>
        <w:top w:val="none" w:sz="0" w:space="0" w:color="auto"/>
        <w:left w:val="none" w:sz="0" w:space="0" w:color="auto"/>
        <w:bottom w:val="none" w:sz="0" w:space="0" w:color="auto"/>
        <w:right w:val="none" w:sz="0" w:space="0" w:color="auto"/>
      </w:divBdr>
      <w:divsChild>
        <w:div w:id="1892494996">
          <w:marLeft w:val="360"/>
          <w:marRight w:val="0"/>
          <w:marTop w:val="200"/>
          <w:marBottom w:val="0"/>
          <w:divBdr>
            <w:top w:val="none" w:sz="0" w:space="0" w:color="auto"/>
            <w:left w:val="none" w:sz="0" w:space="0" w:color="auto"/>
            <w:bottom w:val="none" w:sz="0" w:space="0" w:color="auto"/>
            <w:right w:val="none" w:sz="0" w:space="0" w:color="auto"/>
          </w:divBdr>
        </w:div>
        <w:div w:id="874541207">
          <w:marLeft w:val="360"/>
          <w:marRight w:val="0"/>
          <w:marTop w:val="200"/>
          <w:marBottom w:val="0"/>
          <w:divBdr>
            <w:top w:val="none" w:sz="0" w:space="0" w:color="auto"/>
            <w:left w:val="none" w:sz="0" w:space="0" w:color="auto"/>
            <w:bottom w:val="none" w:sz="0" w:space="0" w:color="auto"/>
            <w:right w:val="none" w:sz="0" w:space="0" w:color="auto"/>
          </w:divBdr>
        </w:div>
        <w:div w:id="224878340">
          <w:marLeft w:val="360"/>
          <w:marRight w:val="0"/>
          <w:marTop w:val="200"/>
          <w:marBottom w:val="0"/>
          <w:divBdr>
            <w:top w:val="none" w:sz="0" w:space="0" w:color="auto"/>
            <w:left w:val="none" w:sz="0" w:space="0" w:color="auto"/>
            <w:bottom w:val="none" w:sz="0" w:space="0" w:color="auto"/>
            <w:right w:val="none" w:sz="0" w:space="0" w:color="auto"/>
          </w:divBdr>
        </w:div>
        <w:div w:id="334309778">
          <w:marLeft w:val="360"/>
          <w:marRight w:val="0"/>
          <w:marTop w:val="200"/>
          <w:marBottom w:val="0"/>
          <w:divBdr>
            <w:top w:val="none" w:sz="0" w:space="0" w:color="auto"/>
            <w:left w:val="none" w:sz="0" w:space="0" w:color="auto"/>
            <w:bottom w:val="none" w:sz="0" w:space="0" w:color="auto"/>
            <w:right w:val="none" w:sz="0" w:space="0" w:color="auto"/>
          </w:divBdr>
        </w:div>
        <w:div w:id="306980553">
          <w:marLeft w:val="1080"/>
          <w:marRight w:val="0"/>
          <w:marTop w:val="100"/>
          <w:marBottom w:val="0"/>
          <w:divBdr>
            <w:top w:val="none" w:sz="0" w:space="0" w:color="auto"/>
            <w:left w:val="none" w:sz="0" w:space="0" w:color="auto"/>
            <w:bottom w:val="none" w:sz="0" w:space="0" w:color="auto"/>
            <w:right w:val="none" w:sz="0" w:space="0" w:color="auto"/>
          </w:divBdr>
        </w:div>
        <w:div w:id="157573162">
          <w:marLeft w:val="1080"/>
          <w:marRight w:val="0"/>
          <w:marTop w:val="100"/>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0162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4_Radio/TSGR4_90/Report/draft_RAN4%2390_meeting%20report_v2.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5AIRPNAIUNRU-1830940522-5261</_dlc_DocId>
    <_dlc_DocIdUrl xmlns="71c5aaf6-e6ce-465b-b873-5148d2a4c105">
      <Url>https://nokia.sharepoint.com/sites/c5g/5gradio/_layouts/15/DocIdRedir.aspx?ID=5AIRPNAIUNRU-1830940522-5261</Url>
      <Description>5AIRPNAIUNRU-1830940522-5261</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46229382-2A27-4B12-9C24-4A568D658E78}">
  <ds:schemaRefs>
    <ds:schemaRef ds:uri="http://schemas.openxmlformats.org/package/2006/metadata/core-properties"/>
    <ds:schemaRef ds:uri="http://purl.org/dc/elements/1.1/"/>
    <ds:schemaRef ds:uri="http://schemas.microsoft.com/office/2006/metadata/properties"/>
    <ds:schemaRef ds:uri="71c5aaf6-e6ce-465b-b873-5148d2a4c105"/>
    <ds:schemaRef ds:uri="ebabf6ce-2443-438c-9946-ecc878e7654a"/>
    <ds:schemaRef ds:uri="http://purl.org/dc/terms/"/>
    <ds:schemaRef ds:uri="http://schemas.microsoft.com/office/infopath/2007/PartnerControls"/>
    <ds:schemaRef ds:uri="http://schemas.microsoft.com/office/2006/documentManagement/types"/>
    <ds:schemaRef ds:uri="95d2e41d-1f11-4347-bb1c-11d6a32975dd"/>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3.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4.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5.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6.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D308730-93F7-47EA-BDEA-A49B24DB9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3</Pages>
  <Words>1621</Words>
  <Characters>8218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Nokia</cp:lastModifiedBy>
  <cp:revision>3</cp:revision>
  <dcterms:created xsi:type="dcterms:W3CDTF">2019-03-29T14:30:00Z</dcterms:created>
  <dcterms:modified xsi:type="dcterms:W3CDTF">2019-03-29T19:29:00Z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583a916b-4b29-41ca-8023-75b83f449c16</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